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A738CD" w:rsidP="007D72FE">
      <w:pPr>
        <w:jc w:val="center"/>
        <w:rPr>
          <w:rFonts w:ascii="Verdana" w:hAnsi="Verdana"/>
          <w:b/>
          <w:sz w:val="20"/>
          <w:szCs w:val="20"/>
          <w:u w:val="single"/>
        </w:rPr>
      </w:pPr>
      <w:r>
        <w:rPr>
          <w:rFonts w:ascii="Verdana" w:hAnsi="Verdana"/>
          <w:b/>
          <w:sz w:val="20"/>
          <w:szCs w:val="20"/>
          <w:u w:val="single"/>
        </w:rPr>
        <w:t>Privacy Notice for Belvue School Employees/Volunteers</w:t>
      </w:r>
    </w:p>
    <w:p w:rsidR="00127C92" w:rsidRDefault="00127C92" w:rsidP="007D72FE">
      <w:pPr>
        <w:jc w:val="center"/>
        <w:rPr>
          <w:rFonts w:ascii="Verdana" w:hAnsi="Verdana"/>
          <w:b/>
          <w:sz w:val="20"/>
          <w:szCs w:val="20"/>
          <w:u w:val="single"/>
        </w:rPr>
      </w:pPr>
    </w:p>
    <w:p w:rsidR="00127C92" w:rsidRDefault="00A738CD" w:rsidP="00127C92">
      <w:pPr>
        <w:rPr>
          <w:rFonts w:ascii="Verdana" w:hAnsi="Verdana"/>
          <w:sz w:val="20"/>
          <w:szCs w:val="20"/>
        </w:rPr>
      </w:pPr>
      <w:r>
        <w:rPr>
          <w:rFonts w:ascii="Verdana" w:hAnsi="Verdana"/>
          <w:sz w:val="20"/>
          <w:szCs w:val="20"/>
        </w:rPr>
        <w:t xml:space="preserve">Belvue School </w:t>
      </w:r>
      <w:r w:rsidR="00127C92">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A738CD" w:rsidP="00127C92">
      <w:pPr>
        <w:rPr>
          <w:rFonts w:ascii="Verdana" w:hAnsi="Verdana"/>
          <w:sz w:val="20"/>
          <w:szCs w:val="20"/>
        </w:rPr>
      </w:pPr>
      <w:r>
        <w:rPr>
          <w:rFonts w:ascii="Verdana" w:hAnsi="Verdana"/>
          <w:sz w:val="20"/>
          <w:szCs w:val="20"/>
        </w:rPr>
        <w:t>Belvue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in references about you that we give to others.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w:t>
      </w:r>
      <w:r w:rsidR="00A738CD">
        <w:rPr>
          <w:rFonts w:ascii="Verdana" w:hAnsi="Verdana"/>
          <w:sz w:val="20"/>
          <w:szCs w:val="20"/>
        </w:rPr>
        <w:t>ghts and freedoms do not overrid</w:t>
      </w:r>
      <w:r>
        <w:rPr>
          <w:rFonts w:ascii="Verdana" w:hAnsi="Verdana"/>
          <w:sz w:val="20"/>
          <w:szCs w:val="20"/>
        </w:rPr>
        <w:t>e those interests.</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lastRenderedPageBreak/>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lastRenderedPageBreak/>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(DfE)</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lastRenderedPageBreak/>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 xml:space="preserve">The recipient of the information will be bound by confidentiality </w:t>
      </w:r>
      <w:r w:rsidR="00A738CD">
        <w:rPr>
          <w:rFonts w:ascii="Verdana" w:hAnsi="Verdana"/>
          <w:sz w:val="20"/>
          <w:szCs w:val="20"/>
        </w:rPr>
        <w:t>obligations;</w:t>
      </w:r>
      <w:r>
        <w:rPr>
          <w:rFonts w:ascii="Verdana" w:hAnsi="Verdana"/>
          <w:sz w:val="20"/>
          <w:szCs w:val="20"/>
        </w:rPr>
        <w:t xml:space="preserve"> we require them to respect the security of your data and to treat it in accordance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067862" w:rsidRDefault="00067862"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D0419B" w:rsidRPr="00A738CD" w:rsidRDefault="00D0419B" w:rsidP="00D0419B">
      <w:pPr>
        <w:rPr>
          <w:rFonts w:ascii="Verdana" w:hAnsi="Verdana"/>
          <w:sz w:val="20"/>
          <w:szCs w:val="20"/>
        </w:rPr>
      </w:pPr>
      <w:r w:rsidRPr="00A738CD">
        <w:rPr>
          <w:rFonts w:ascii="Verdana" w:hAnsi="Verdana"/>
          <w:sz w:val="20"/>
          <w:szCs w:val="20"/>
        </w:rPr>
        <w:t>Once you are no longer an employee, worker or contractor of the company we will retain and securely destroy your personal information in accordance with our data retention policy.</w:t>
      </w:r>
    </w:p>
    <w:p w:rsidR="00067862" w:rsidRDefault="00067862" w:rsidP="00067862">
      <w:pPr>
        <w:rPr>
          <w:rFonts w:ascii="Verdana" w:hAnsi="Verdana"/>
          <w:color w:val="000000" w:themeColor="text1"/>
          <w:sz w:val="20"/>
          <w:szCs w:val="20"/>
        </w:rPr>
      </w:pPr>
      <w:r>
        <w:rPr>
          <w:rFonts w:ascii="Verdana" w:hAnsi="Verdana"/>
          <w:color w:val="000000" w:themeColor="text1"/>
          <w:sz w:val="20"/>
          <w:szCs w:val="20"/>
        </w:rPr>
        <w:t>The School typically retains personal data for 6 years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of these measures are available </w:t>
      </w:r>
      <w:r w:rsidR="00D62A94">
        <w:rPr>
          <w:rFonts w:ascii="Verdana" w:hAnsi="Verdana"/>
          <w:sz w:val="20"/>
          <w:szCs w:val="20"/>
        </w:rPr>
        <w:t>in the School Finance Handbook.</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w:t>
      </w:r>
      <w:r>
        <w:rPr>
          <w:rFonts w:ascii="Verdana" w:hAnsi="Verdana"/>
          <w:sz w:val="20"/>
          <w:szCs w:val="20"/>
        </w:rPr>
        <w:lastRenderedPageBreak/>
        <w:t>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D62A94">
        <w:rPr>
          <w:rFonts w:ascii="Verdana" w:hAnsi="Verdana"/>
          <w:sz w:val="20"/>
          <w:szCs w:val="20"/>
        </w:rPr>
        <w:t>Claire Preston</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51713">
        <w:rPr>
          <w:rFonts w:ascii="Verdana" w:hAnsi="Verdana"/>
          <w:sz w:val="20"/>
          <w:szCs w:val="20"/>
        </w:rPr>
        <w:t xml:space="preserve">Head of Business and Finance, </w:t>
      </w:r>
      <w:r w:rsidR="00D62A94">
        <w:rPr>
          <w:rFonts w:ascii="Verdana" w:hAnsi="Verdana"/>
          <w:sz w:val="20"/>
          <w:szCs w:val="20"/>
        </w:rPr>
        <w:t>Claire Preston</w:t>
      </w:r>
      <w:r w:rsidR="00151713">
        <w:rPr>
          <w:rFonts w:ascii="Verdana" w:hAnsi="Verdana"/>
          <w:sz w:val="20"/>
          <w:szCs w:val="20"/>
        </w:rPr>
        <w:t>.</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W</w:t>
      </w:r>
      <w:r w:rsidR="00D62A94">
        <w:rPr>
          <w:rFonts w:ascii="Verdana" w:hAnsi="Verdana"/>
          <w:sz w:val="20"/>
          <w:szCs w:val="20"/>
        </w:rPr>
        <w:t xml:space="preserve">e hope that </w:t>
      </w:r>
      <w:r w:rsidR="00151713">
        <w:rPr>
          <w:rFonts w:ascii="Verdana" w:hAnsi="Verdana"/>
          <w:sz w:val="20"/>
          <w:szCs w:val="20"/>
        </w:rPr>
        <w:t>the Head of Business and Finance,</w:t>
      </w:r>
      <w:r>
        <w:rPr>
          <w:rFonts w:ascii="Verdana" w:hAnsi="Verdana"/>
          <w:sz w:val="20"/>
          <w:szCs w:val="20"/>
        </w:rPr>
        <w:t xml:space="preserve"> </w:t>
      </w:r>
      <w:r w:rsidR="00151713">
        <w:rPr>
          <w:rFonts w:ascii="Verdana" w:hAnsi="Verdana"/>
          <w:sz w:val="20"/>
          <w:szCs w:val="20"/>
        </w:rPr>
        <w:t xml:space="preserve">Claire Preston, </w:t>
      </w:r>
      <w:r>
        <w:rPr>
          <w:rFonts w:ascii="Verdana" w:hAnsi="Verdana"/>
          <w:sz w:val="20"/>
          <w:szCs w:val="20"/>
        </w:rPr>
        <w:t>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w:t>
      </w:r>
      <w:r w:rsidR="00D62A94">
        <w:rPr>
          <w:rFonts w:ascii="Verdana" w:hAnsi="Verdana"/>
          <w:sz w:val="20"/>
          <w:szCs w:val="20"/>
        </w:rPr>
        <w:t>d</w:t>
      </w:r>
      <w:r w:rsidR="00A94B86">
        <w:rPr>
          <w:rFonts w:ascii="Verdana" w:hAnsi="Verdana"/>
          <w:sz w:val="20"/>
          <w:szCs w:val="20"/>
        </w:rPr>
        <w:t xml:space="preserve"> by </w:t>
      </w:r>
      <w:r w:rsidR="00151713">
        <w:rPr>
          <w:rFonts w:ascii="Verdana" w:hAnsi="Verdana"/>
          <w:sz w:val="20"/>
          <w:szCs w:val="20"/>
        </w:rPr>
        <w:t xml:space="preserve">the Head of Business and Finance, </w:t>
      </w:r>
      <w:r w:rsidR="00D62A94">
        <w:rPr>
          <w:rFonts w:ascii="Verdana" w:hAnsi="Verdana"/>
          <w:sz w:val="20"/>
          <w:szCs w:val="20"/>
        </w:rPr>
        <w:t>Claire Preston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Data Controller Name: Craig Stilwell</w:t>
      </w:r>
    </w:p>
    <w:p w:rsidR="008B7D7A" w:rsidRPr="008710BE" w:rsidRDefault="008B7D7A" w:rsidP="008B7D7A">
      <w:pPr>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B7D7A">
      <w:pPr>
        <w:rPr>
          <w:rFonts w:ascii="Verdana" w:hAnsi="Verdana"/>
          <w:sz w:val="20"/>
          <w:szCs w:val="20"/>
        </w:rPr>
      </w:pPr>
      <w:r w:rsidRPr="008710BE">
        <w:rPr>
          <w:rFonts w:ascii="Verdana" w:hAnsi="Verdana"/>
          <w:sz w:val="20"/>
          <w:szCs w:val="20"/>
        </w:rPr>
        <w:t xml:space="preserve">Data Controller Email: </w:t>
      </w:r>
      <w:hyperlink r:id="rId7" w:history="1">
        <w:r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rsid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151713" w:rsidRDefault="00151713" w:rsidP="00742075">
      <w:pPr>
        <w:rPr>
          <w:rFonts w:ascii="Verdana" w:hAnsi="Verdana"/>
          <w:sz w:val="20"/>
          <w:szCs w:val="20"/>
        </w:rPr>
      </w:pPr>
    </w:p>
    <w:p w:rsidR="00151713" w:rsidRPr="008B7D7A" w:rsidRDefault="00151713" w:rsidP="00742075">
      <w:pPr>
        <w:rPr>
          <w:rFonts w:ascii="Verdana" w:hAnsi="Verdana"/>
          <w:sz w:val="20"/>
          <w:szCs w:val="20"/>
        </w:rPr>
      </w:pPr>
      <w:r>
        <w:rPr>
          <w:rFonts w:ascii="Verdana" w:hAnsi="Verdana"/>
          <w:sz w:val="20"/>
          <w:szCs w:val="20"/>
        </w:rPr>
        <w:t>Dated: June 20</w:t>
      </w:r>
      <w:r w:rsidR="007F62C3">
        <w:rPr>
          <w:rFonts w:ascii="Verdana" w:hAnsi="Verdana"/>
          <w:sz w:val="20"/>
          <w:szCs w:val="20"/>
        </w:rPr>
        <w:t>20</w:t>
      </w:r>
      <w:bookmarkStart w:id="0" w:name="_GoBack"/>
      <w:bookmarkEnd w:id="0"/>
      <w:r>
        <w:rPr>
          <w:rFonts w:ascii="Verdana" w:hAnsi="Verdana"/>
          <w:sz w:val="20"/>
          <w:szCs w:val="20"/>
        </w:rPr>
        <w:t xml:space="preserve">  Author: C Preston</w:t>
      </w:r>
    </w:p>
    <w:sectPr w:rsidR="00151713" w:rsidRPr="008B7D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13" w:rsidRDefault="00151713" w:rsidP="00151713">
      <w:pPr>
        <w:spacing w:after="0" w:line="240" w:lineRule="auto"/>
      </w:pPr>
      <w:r>
        <w:separator/>
      </w:r>
    </w:p>
  </w:endnote>
  <w:endnote w:type="continuationSeparator" w:id="0">
    <w:p w:rsidR="00151713" w:rsidRDefault="00151713" w:rsidP="001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9505"/>
      <w:docPartObj>
        <w:docPartGallery w:val="Page Numbers (Bottom of Page)"/>
        <w:docPartUnique/>
      </w:docPartObj>
    </w:sdtPr>
    <w:sdtEndPr>
      <w:rPr>
        <w:noProof/>
      </w:rPr>
    </w:sdtEndPr>
    <w:sdtContent>
      <w:p w:rsidR="00151713" w:rsidRDefault="00151713">
        <w:pPr>
          <w:pStyle w:val="Footer"/>
          <w:jc w:val="center"/>
        </w:pPr>
        <w:r>
          <w:fldChar w:fldCharType="begin"/>
        </w:r>
        <w:r>
          <w:instrText xml:space="preserve"> PAGE   \* MERGEFORMAT </w:instrText>
        </w:r>
        <w:r>
          <w:fldChar w:fldCharType="separate"/>
        </w:r>
        <w:r w:rsidR="007F62C3">
          <w:rPr>
            <w:noProof/>
          </w:rPr>
          <w:t>6</w:t>
        </w:r>
        <w:r>
          <w:rPr>
            <w:noProof/>
          </w:rPr>
          <w:fldChar w:fldCharType="end"/>
        </w:r>
      </w:p>
    </w:sdtContent>
  </w:sdt>
  <w:p w:rsidR="00151713" w:rsidRDefault="0015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13" w:rsidRDefault="00151713" w:rsidP="00151713">
      <w:pPr>
        <w:spacing w:after="0" w:line="240" w:lineRule="auto"/>
      </w:pPr>
      <w:r>
        <w:separator/>
      </w:r>
    </w:p>
  </w:footnote>
  <w:footnote w:type="continuationSeparator" w:id="0">
    <w:p w:rsidR="00151713" w:rsidRDefault="00151713" w:rsidP="001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51713"/>
    <w:rsid w:val="001D31CC"/>
    <w:rsid w:val="002A54A6"/>
    <w:rsid w:val="002F10BC"/>
    <w:rsid w:val="002F46C8"/>
    <w:rsid w:val="0047509F"/>
    <w:rsid w:val="00507DB6"/>
    <w:rsid w:val="0063067E"/>
    <w:rsid w:val="006B114B"/>
    <w:rsid w:val="0071491E"/>
    <w:rsid w:val="007374FE"/>
    <w:rsid w:val="00742075"/>
    <w:rsid w:val="007D2D72"/>
    <w:rsid w:val="007D72FE"/>
    <w:rsid w:val="007F62C3"/>
    <w:rsid w:val="00836842"/>
    <w:rsid w:val="008B7D7A"/>
    <w:rsid w:val="00A738CD"/>
    <w:rsid w:val="00A94B86"/>
    <w:rsid w:val="00AC49F9"/>
    <w:rsid w:val="00AE1E6E"/>
    <w:rsid w:val="00AF696B"/>
    <w:rsid w:val="00D0419B"/>
    <w:rsid w:val="00D62A94"/>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32B0"/>
  <w15:docId w15:val="{637B59EA-C1A6-4CD0-B87B-C8EB005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Header">
    <w:name w:val="header"/>
    <w:basedOn w:val="Normal"/>
    <w:link w:val="HeaderChar"/>
    <w:uiPriority w:val="99"/>
    <w:unhideWhenUsed/>
    <w:rsid w:val="0015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13"/>
  </w:style>
  <w:style w:type="paragraph" w:styleId="Footer">
    <w:name w:val="footer"/>
    <w:basedOn w:val="Normal"/>
    <w:link w:val="FooterChar"/>
    <w:uiPriority w:val="99"/>
    <w:unhideWhenUsed/>
    <w:rsid w:val="0015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13"/>
  </w:style>
  <w:style w:type="paragraph" w:styleId="BalloonText">
    <w:name w:val="Balloon Text"/>
    <w:basedOn w:val="Normal"/>
    <w:link w:val="BalloonTextChar"/>
    <w:uiPriority w:val="99"/>
    <w:semiHidden/>
    <w:unhideWhenUsed/>
    <w:rsid w:val="007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ervices@judic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Louise Scarrott</cp:lastModifiedBy>
  <cp:revision>2</cp:revision>
  <cp:lastPrinted>2021-04-26T09:16:00Z</cp:lastPrinted>
  <dcterms:created xsi:type="dcterms:W3CDTF">2021-04-26T09:17:00Z</dcterms:created>
  <dcterms:modified xsi:type="dcterms:W3CDTF">2021-04-26T09:17:00Z</dcterms:modified>
</cp:coreProperties>
</file>