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13" w:rsidRDefault="00572313" w:rsidP="00E3392A">
      <w:pPr>
        <w:pStyle w:val="NormalWeb"/>
        <w:jc w:val="center"/>
        <w:rPr>
          <w:rFonts w:ascii="Calibri" w:hAnsi="Calibri"/>
        </w:rPr>
      </w:pPr>
      <w:r>
        <w:rPr>
          <w:noProof/>
        </w:rPr>
        <w:drawing>
          <wp:anchor distT="0" distB="0" distL="114300" distR="114300" simplePos="0" relativeHeight="251659264" behindDoc="1" locked="0" layoutInCell="1" allowOverlap="1" wp14:anchorId="0870CDDF" wp14:editId="6A96A07A">
            <wp:simplePos x="0" y="0"/>
            <wp:positionH relativeFrom="margin">
              <wp:posOffset>4904740</wp:posOffset>
            </wp:positionH>
            <wp:positionV relativeFrom="paragraph">
              <wp:posOffset>635</wp:posOffset>
            </wp:positionV>
            <wp:extent cx="923925" cy="847725"/>
            <wp:effectExtent l="0" t="0" r="9525" b="9525"/>
            <wp:wrapTight wrapText="bothSides">
              <wp:wrapPolygon edited="0">
                <wp:start x="0" y="0"/>
                <wp:lineTo x="0" y="21357"/>
                <wp:lineTo x="21377" y="21357"/>
                <wp:lineTo x="21377"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4636"/>
                    <a:stretch>
                      <a:fillRect/>
                    </a:stretch>
                  </pic:blipFill>
                  <pic:spPr bwMode="auto">
                    <a:xfrm>
                      <a:off x="0" y="0"/>
                      <a:ext cx="9239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ab/>
      </w:r>
      <w:r>
        <w:rPr>
          <w:rFonts w:ascii="Calibri" w:hAnsi="Calibri"/>
        </w:rPr>
        <w:tab/>
      </w:r>
      <w:r>
        <w:rPr>
          <w:rFonts w:ascii="Calibri" w:hAnsi="Calibri"/>
        </w:rPr>
        <w:tab/>
      </w:r>
      <w:r>
        <w:rPr>
          <w:rFonts w:ascii="Calibri" w:hAnsi="Calibri"/>
        </w:rPr>
        <w:tab/>
      </w:r>
    </w:p>
    <w:p w:rsidR="00572313" w:rsidRDefault="00572313" w:rsidP="00572313">
      <w:pPr>
        <w:pStyle w:val="NormalWeb"/>
        <w:ind w:left="2880" w:firstLine="720"/>
        <w:rPr>
          <w:rFonts w:ascii="Calibri" w:hAnsi="Calibri"/>
        </w:rPr>
      </w:pPr>
    </w:p>
    <w:p w:rsidR="005E3D28" w:rsidRDefault="005E3D28" w:rsidP="00572313">
      <w:pPr>
        <w:pStyle w:val="NormalWeb"/>
        <w:ind w:left="2880" w:firstLine="720"/>
        <w:rPr>
          <w:rFonts w:ascii="Calibri" w:hAnsi="Calibri"/>
        </w:rPr>
      </w:pPr>
      <w:r>
        <w:rPr>
          <w:rFonts w:ascii="Calibri" w:hAnsi="Calibri"/>
        </w:rPr>
        <w:t>BELVUE SCHOOL</w:t>
      </w:r>
    </w:p>
    <w:p w:rsidR="005E3D28" w:rsidRDefault="00572313" w:rsidP="00E3392A">
      <w:pPr>
        <w:pStyle w:val="NormalWeb"/>
        <w:jc w:val="center"/>
        <w:rPr>
          <w:rFonts w:ascii="Calibri" w:hAnsi="Calibri"/>
        </w:rPr>
      </w:pPr>
      <w:r>
        <w:rPr>
          <w:rFonts w:ascii="Calibri" w:hAnsi="Calibri"/>
        </w:rPr>
        <w:t xml:space="preserve">           </w:t>
      </w:r>
      <w:r w:rsidR="005E3D28">
        <w:rPr>
          <w:rFonts w:ascii="Calibri" w:hAnsi="Calibri"/>
        </w:rPr>
        <w:t>POLICY AND CURRICULUM GUIDANCE ON TEACHING BRITISH VALUES</w:t>
      </w:r>
      <w:bookmarkStart w:id="0" w:name="_GoBack"/>
      <w:bookmarkEnd w:id="0"/>
    </w:p>
    <w:p w:rsidR="005E3D28" w:rsidRDefault="005E3D28" w:rsidP="00E3392A">
      <w:pPr>
        <w:pStyle w:val="NormalWeb"/>
        <w:numPr>
          <w:ilvl w:val="0"/>
          <w:numId w:val="1"/>
        </w:numPr>
        <w:jc w:val="both"/>
        <w:rPr>
          <w:rFonts w:ascii="Calibri" w:hAnsi="Calibri"/>
        </w:rPr>
      </w:pPr>
      <w:r>
        <w:rPr>
          <w:rFonts w:ascii="Calibri" w:hAnsi="Calibri"/>
        </w:rPr>
        <w:t>OVERVIEW</w:t>
      </w:r>
    </w:p>
    <w:p w:rsidR="00DB2569" w:rsidRDefault="005E3D28" w:rsidP="00E3392A">
      <w:pPr>
        <w:pStyle w:val="NormalWeb"/>
        <w:ind w:left="720"/>
        <w:jc w:val="both"/>
        <w:rPr>
          <w:rFonts w:ascii="Calibri" w:hAnsi="Calibri"/>
        </w:rPr>
      </w:pPr>
      <w:r>
        <w:rPr>
          <w:rFonts w:ascii="Calibri" w:hAnsi="Calibri"/>
        </w:rPr>
        <w:t xml:space="preserve">As a learning community in the heart of one of the most culturally diverse cities in the world </w:t>
      </w:r>
      <w:r w:rsidR="00DB2569">
        <w:rPr>
          <w:rFonts w:ascii="Calibri" w:hAnsi="Calibri"/>
        </w:rPr>
        <w:t>our school</w:t>
      </w:r>
      <w:r>
        <w:rPr>
          <w:rFonts w:ascii="Calibri" w:hAnsi="Calibri"/>
        </w:rPr>
        <w:t xml:space="preserve"> community has decided that the focus for community cohesion and preventing radica</w:t>
      </w:r>
      <w:r w:rsidR="0073633F">
        <w:rPr>
          <w:rFonts w:ascii="Calibri" w:hAnsi="Calibri"/>
        </w:rPr>
        <w:t>lisation is the teaching of RESP</w:t>
      </w:r>
      <w:r>
        <w:rPr>
          <w:rFonts w:ascii="Calibri" w:hAnsi="Calibri"/>
        </w:rPr>
        <w:t>ECT.</w:t>
      </w:r>
      <w:r w:rsidR="00CF0A39">
        <w:rPr>
          <w:rFonts w:ascii="Calibri" w:hAnsi="Calibri"/>
        </w:rPr>
        <w:t xml:space="preserve"> This policy and guidance acknowledges that we are working with a particularly vulnerable group of pupils who are more susceptible to grooming because of their learning disab</w:t>
      </w:r>
      <w:r w:rsidR="0073633F">
        <w:rPr>
          <w:rFonts w:ascii="Calibri" w:hAnsi="Calibri"/>
        </w:rPr>
        <w:t>ility, autism and complex needs</w:t>
      </w:r>
      <w:r w:rsidR="00DB2569">
        <w:rPr>
          <w:rFonts w:ascii="Calibri" w:hAnsi="Calibri"/>
        </w:rPr>
        <w:t>.  This combination of challenges</w:t>
      </w:r>
      <w:r w:rsidR="00CF0A39">
        <w:rPr>
          <w:rFonts w:ascii="Calibri" w:hAnsi="Calibri"/>
        </w:rPr>
        <w:t xml:space="preserve"> severely impacts on their lack of employment and social opportunities</w:t>
      </w:r>
      <w:r w:rsidR="00DB2569">
        <w:rPr>
          <w:rFonts w:ascii="Calibri" w:hAnsi="Calibri"/>
        </w:rPr>
        <w:t xml:space="preserve"> which often manifests</w:t>
      </w:r>
      <w:r w:rsidR="00CF0A39">
        <w:rPr>
          <w:rFonts w:ascii="Calibri" w:hAnsi="Calibri"/>
        </w:rPr>
        <w:t xml:space="preserve"> in social isolation</w:t>
      </w:r>
      <w:r w:rsidR="0073633F">
        <w:rPr>
          <w:rFonts w:ascii="Calibri" w:hAnsi="Calibri"/>
        </w:rPr>
        <w:t>;</w:t>
      </w:r>
      <w:r w:rsidR="00DB2569">
        <w:rPr>
          <w:rFonts w:ascii="Calibri" w:hAnsi="Calibri"/>
        </w:rPr>
        <w:t xml:space="preserve"> a feeling of helplessness</w:t>
      </w:r>
      <w:r w:rsidR="00CF0A39">
        <w:rPr>
          <w:rFonts w:ascii="Calibri" w:hAnsi="Calibri"/>
        </w:rPr>
        <w:t xml:space="preserve"> and an over dependence on social media.</w:t>
      </w:r>
      <w:r w:rsidR="00DB2569">
        <w:rPr>
          <w:rFonts w:ascii="Calibri" w:hAnsi="Calibri"/>
        </w:rPr>
        <w:t xml:space="preserve"> </w:t>
      </w:r>
      <w:r w:rsidR="00CF0A39">
        <w:rPr>
          <w:rFonts w:ascii="Calibri" w:hAnsi="Calibri"/>
        </w:rPr>
        <w:t>We acknowledge that because of these difficulties our young people are more likely to s</w:t>
      </w:r>
      <w:r w:rsidR="00DB2569">
        <w:rPr>
          <w:rFonts w:ascii="Calibri" w:hAnsi="Calibri"/>
        </w:rPr>
        <w:t>uffer mental health problems</w:t>
      </w:r>
      <w:r w:rsidR="001E3997">
        <w:rPr>
          <w:rFonts w:ascii="Calibri" w:hAnsi="Calibri"/>
        </w:rPr>
        <w:t xml:space="preserve"> and become potentially vulnerable to radical views</w:t>
      </w:r>
      <w:r w:rsidR="0073633F">
        <w:rPr>
          <w:rFonts w:ascii="Calibri" w:hAnsi="Calibri"/>
        </w:rPr>
        <w:t>.</w:t>
      </w:r>
      <w:r w:rsidR="001E3997">
        <w:rPr>
          <w:rFonts w:ascii="Calibri" w:hAnsi="Calibri"/>
        </w:rPr>
        <w:t xml:space="preserve"> (See</w:t>
      </w:r>
      <w:r w:rsidR="00D845B7">
        <w:rPr>
          <w:rFonts w:ascii="Calibri" w:hAnsi="Calibri"/>
        </w:rPr>
        <w:t xml:space="preserve"> Harry Thomas/</w:t>
      </w:r>
      <w:proofErr w:type="spellStart"/>
      <w:r w:rsidR="00D845B7">
        <w:rPr>
          <w:rFonts w:ascii="Calibri" w:hAnsi="Calibri"/>
        </w:rPr>
        <w:t>Kazi</w:t>
      </w:r>
      <w:proofErr w:type="spellEnd"/>
      <w:r w:rsidR="00D845B7">
        <w:rPr>
          <w:rFonts w:ascii="Calibri" w:hAnsi="Calibri"/>
        </w:rPr>
        <w:t xml:space="preserve"> Islam, Guardian, April 2015)</w:t>
      </w:r>
      <w:r w:rsidR="00DB2569">
        <w:rPr>
          <w:rFonts w:ascii="Calibri" w:hAnsi="Calibri"/>
        </w:rPr>
        <w:t xml:space="preserve">. </w:t>
      </w:r>
    </w:p>
    <w:p w:rsidR="00DB2569" w:rsidRDefault="00DB2569" w:rsidP="00E3392A">
      <w:pPr>
        <w:pStyle w:val="NormalWeb"/>
        <w:ind w:left="720"/>
        <w:jc w:val="both"/>
        <w:rPr>
          <w:rFonts w:ascii="Calibri" w:hAnsi="Calibri"/>
        </w:rPr>
      </w:pPr>
      <w:r>
        <w:rPr>
          <w:rFonts w:ascii="Calibri" w:hAnsi="Calibri"/>
        </w:rPr>
        <w:t>We therefore believe that it is our responsibility to support young people understand</w:t>
      </w:r>
      <w:r w:rsidR="00FD7E75">
        <w:rPr>
          <w:rFonts w:ascii="Calibri" w:hAnsi="Calibri"/>
        </w:rPr>
        <w:t xml:space="preserve"> and develop</w:t>
      </w:r>
      <w:r>
        <w:rPr>
          <w:rFonts w:ascii="Calibri" w:hAnsi="Calibri"/>
        </w:rPr>
        <w:t xml:space="preserve"> their relationship to the community,</w:t>
      </w:r>
      <w:r w:rsidR="00FD7E75">
        <w:rPr>
          <w:rFonts w:ascii="Calibri" w:hAnsi="Calibri"/>
        </w:rPr>
        <w:t xml:space="preserve"> by developing their belief in</w:t>
      </w:r>
      <w:r>
        <w:rPr>
          <w:rFonts w:ascii="Calibri" w:hAnsi="Calibri"/>
        </w:rPr>
        <w:t xml:space="preserve"> the contri</w:t>
      </w:r>
      <w:r w:rsidR="00FD7E75">
        <w:rPr>
          <w:rFonts w:ascii="Calibri" w:hAnsi="Calibri"/>
        </w:rPr>
        <w:t>bution they can make and its impact and value</w:t>
      </w:r>
      <w:r w:rsidR="00F92924">
        <w:rPr>
          <w:rFonts w:ascii="Calibri" w:hAnsi="Calibri"/>
        </w:rPr>
        <w:t xml:space="preserve"> on their community</w:t>
      </w:r>
      <w:r w:rsidR="00FD7E75">
        <w:rPr>
          <w:rFonts w:ascii="Calibri" w:hAnsi="Calibri"/>
        </w:rPr>
        <w:t>. We want to support them in appreciating and valuing</w:t>
      </w:r>
      <w:r>
        <w:rPr>
          <w:rFonts w:ascii="Calibri" w:hAnsi="Calibri"/>
        </w:rPr>
        <w:t xml:space="preserve"> the</w:t>
      </w:r>
      <w:r w:rsidR="00FD7E75">
        <w:rPr>
          <w:rFonts w:ascii="Calibri" w:hAnsi="Calibri"/>
        </w:rPr>
        <w:t xml:space="preserve"> many</w:t>
      </w:r>
      <w:r w:rsidR="00F92924">
        <w:rPr>
          <w:rFonts w:ascii="Calibri" w:hAnsi="Calibri"/>
        </w:rPr>
        <w:t xml:space="preserve"> benefits of being part of their </w:t>
      </w:r>
      <w:r>
        <w:rPr>
          <w:rFonts w:ascii="Calibri" w:hAnsi="Calibri"/>
        </w:rPr>
        <w:t>community.</w:t>
      </w:r>
    </w:p>
    <w:p w:rsidR="00DB2569" w:rsidRDefault="00DB2569" w:rsidP="00E3392A">
      <w:pPr>
        <w:pStyle w:val="NormalWeb"/>
        <w:numPr>
          <w:ilvl w:val="0"/>
          <w:numId w:val="1"/>
        </w:numPr>
        <w:jc w:val="both"/>
        <w:rPr>
          <w:rFonts w:ascii="Calibri" w:hAnsi="Calibri"/>
        </w:rPr>
      </w:pPr>
      <w:r>
        <w:rPr>
          <w:rFonts w:ascii="Calibri" w:hAnsi="Calibri"/>
        </w:rPr>
        <w:t>APPROACH AND ETHOS</w:t>
      </w:r>
    </w:p>
    <w:p w:rsidR="00BD26CA" w:rsidRDefault="00DB2569" w:rsidP="00E3392A">
      <w:pPr>
        <w:pStyle w:val="NormalWeb"/>
        <w:ind w:left="720"/>
        <w:jc w:val="both"/>
        <w:rPr>
          <w:rFonts w:ascii="Calibri" w:hAnsi="Calibri"/>
        </w:rPr>
      </w:pPr>
      <w:r>
        <w:rPr>
          <w:rFonts w:ascii="Calibri" w:hAnsi="Calibri"/>
        </w:rPr>
        <w:t xml:space="preserve">At Belvue School we have developed an </w:t>
      </w:r>
      <w:r w:rsidR="00BD26CA">
        <w:rPr>
          <w:rFonts w:ascii="Calibri" w:hAnsi="Calibri"/>
        </w:rPr>
        <w:t>acronym for teaching ‘British’ values</w:t>
      </w:r>
      <w:r>
        <w:rPr>
          <w:rFonts w:ascii="Calibri" w:hAnsi="Calibri"/>
        </w:rPr>
        <w:t xml:space="preserve"> that </w:t>
      </w:r>
      <w:r w:rsidR="006960C3">
        <w:rPr>
          <w:rFonts w:ascii="Calibri" w:hAnsi="Calibri"/>
        </w:rPr>
        <w:t xml:space="preserve">builds on the notion of equality and respect </w:t>
      </w:r>
      <w:r w:rsidR="00F92924">
        <w:rPr>
          <w:rFonts w:ascii="Calibri" w:hAnsi="Calibri"/>
        </w:rPr>
        <w:t>inherent in</w:t>
      </w:r>
      <w:r w:rsidR="006960C3">
        <w:rPr>
          <w:rFonts w:ascii="Calibri" w:hAnsi="Calibri"/>
        </w:rPr>
        <w:t xml:space="preserve"> our </w:t>
      </w:r>
      <w:r w:rsidR="00E417F8">
        <w:rPr>
          <w:rFonts w:ascii="Calibri" w:hAnsi="Calibri"/>
        </w:rPr>
        <w:t xml:space="preserve">modern, </w:t>
      </w:r>
      <w:r w:rsidR="006960C3">
        <w:rPr>
          <w:rFonts w:ascii="Calibri" w:hAnsi="Calibri"/>
        </w:rPr>
        <w:t>multi-cultural community</w:t>
      </w:r>
      <w:r w:rsidR="00F92924">
        <w:rPr>
          <w:rFonts w:ascii="Calibri" w:hAnsi="Calibri"/>
        </w:rPr>
        <w:t xml:space="preserve"> of G</w:t>
      </w:r>
      <w:r w:rsidR="00E417F8">
        <w:rPr>
          <w:rFonts w:ascii="Calibri" w:hAnsi="Calibri"/>
        </w:rPr>
        <w:t>reater London</w:t>
      </w:r>
      <w:r w:rsidR="006960C3">
        <w:rPr>
          <w:rFonts w:ascii="Calibri" w:hAnsi="Calibri"/>
        </w:rPr>
        <w:t xml:space="preserve">. </w:t>
      </w:r>
    </w:p>
    <w:p w:rsidR="00BD26CA" w:rsidRDefault="00F92924" w:rsidP="00492059">
      <w:pPr>
        <w:pStyle w:val="NormalWeb"/>
        <w:ind w:left="720"/>
        <w:jc w:val="both"/>
        <w:rPr>
          <w:rFonts w:ascii="Calibri" w:hAnsi="Calibri"/>
        </w:rPr>
      </w:pPr>
      <w:r>
        <w:rPr>
          <w:rFonts w:ascii="Calibri" w:hAnsi="Calibri"/>
        </w:rPr>
        <w:t>A</w:t>
      </w:r>
      <w:r w:rsidR="00E93EB5">
        <w:rPr>
          <w:rFonts w:ascii="Calibri" w:hAnsi="Calibri"/>
        </w:rPr>
        <w:t>t Belvue School we don’t teach</w:t>
      </w:r>
      <w:r w:rsidR="00BD26CA">
        <w:rPr>
          <w:rFonts w:ascii="Calibri" w:hAnsi="Calibri"/>
        </w:rPr>
        <w:t xml:space="preserve"> British Values we teach RESPECT</w:t>
      </w:r>
      <w:r w:rsidR="00492059">
        <w:rPr>
          <w:rFonts w:ascii="Calibri" w:hAnsi="Calibri"/>
        </w:rPr>
        <w:t>, both in relation to the actual meaning of the word</w:t>
      </w:r>
      <w:r w:rsidR="00520E20">
        <w:rPr>
          <w:rFonts w:ascii="Calibri" w:hAnsi="Calibri"/>
        </w:rPr>
        <w:t xml:space="preserve"> -</w:t>
      </w:r>
      <w:r w:rsidR="00DD2BB9">
        <w:rPr>
          <w:rFonts w:ascii="Calibri" w:hAnsi="Calibri"/>
        </w:rPr>
        <w:t xml:space="preserve"> that of </w:t>
      </w:r>
      <w:r w:rsidR="00DB1388">
        <w:rPr>
          <w:rFonts w:ascii="Calibri" w:hAnsi="Calibri"/>
        </w:rPr>
        <w:t>due regard for the feelings, wishes or rights of others</w:t>
      </w:r>
      <w:r w:rsidR="00520E20">
        <w:rPr>
          <w:rFonts w:ascii="Calibri" w:hAnsi="Calibri"/>
        </w:rPr>
        <w:t xml:space="preserve"> -</w:t>
      </w:r>
      <w:r w:rsidR="00492059">
        <w:rPr>
          <w:rFonts w:ascii="Calibri" w:hAnsi="Calibri"/>
        </w:rPr>
        <w:t xml:space="preserve"> and as an acronym for: </w:t>
      </w:r>
    </w:p>
    <w:p w:rsidR="00BD26CA" w:rsidRDefault="00BD26CA" w:rsidP="00E3392A">
      <w:pPr>
        <w:pStyle w:val="NormalWeb"/>
        <w:ind w:firstLine="720"/>
        <w:jc w:val="both"/>
        <w:rPr>
          <w:rFonts w:ascii="Calibri" w:hAnsi="Calibri"/>
        </w:rPr>
      </w:pPr>
      <w:r>
        <w:rPr>
          <w:rFonts w:ascii="Calibri" w:hAnsi="Calibri"/>
        </w:rPr>
        <w:t>R = right to freedom of speech</w:t>
      </w:r>
      <w:r w:rsidR="00D052FE">
        <w:rPr>
          <w:rFonts w:ascii="Calibri" w:hAnsi="Calibri"/>
        </w:rPr>
        <w:t xml:space="preserve"> and</w:t>
      </w:r>
      <w:r>
        <w:rPr>
          <w:rFonts w:ascii="Calibri" w:hAnsi="Calibri"/>
        </w:rPr>
        <w:t xml:space="preserve"> individual opinion</w:t>
      </w:r>
      <w:r w:rsidR="00D052FE">
        <w:rPr>
          <w:rFonts w:ascii="Calibri" w:hAnsi="Calibri"/>
        </w:rPr>
        <w:t xml:space="preserve"> within the rule of law</w:t>
      </w:r>
    </w:p>
    <w:p w:rsidR="00BD26CA" w:rsidRDefault="00BD26CA" w:rsidP="00E3392A">
      <w:pPr>
        <w:pStyle w:val="NormalWeb"/>
        <w:ind w:firstLine="720"/>
        <w:jc w:val="both"/>
        <w:rPr>
          <w:rFonts w:ascii="Calibri" w:hAnsi="Calibri"/>
        </w:rPr>
      </w:pPr>
      <w:r>
        <w:rPr>
          <w:rFonts w:ascii="Calibri" w:hAnsi="Calibri"/>
        </w:rPr>
        <w:t>E= equality regardless of gender, disability, age, sexuality, race</w:t>
      </w:r>
    </w:p>
    <w:p w:rsidR="00BD26CA" w:rsidRDefault="00BD26CA" w:rsidP="00E3392A">
      <w:pPr>
        <w:pStyle w:val="NormalWeb"/>
        <w:ind w:left="720"/>
        <w:jc w:val="both"/>
        <w:rPr>
          <w:rFonts w:ascii="Calibri" w:hAnsi="Calibri"/>
        </w:rPr>
      </w:pPr>
      <w:r>
        <w:rPr>
          <w:rFonts w:ascii="Calibri" w:hAnsi="Calibri"/>
        </w:rPr>
        <w:t>S = support for those in need through the NHS, the benefits system and international aid</w:t>
      </w:r>
    </w:p>
    <w:p w:rsidR="00BD26CA" w:rsidRDefault="00BD26CA" w:rsidP="006960C3">
      <w:pPr>
        <w:pStyle w:val="NormalWeb"/>
        <w:ind w:firstLine="720"/>
        <w:rPr>
          <w:rFonts w:ascii="Calibri" w:hAnsi="Calibri"/>
        </w:rPr>
      </w:pPr>
      <w:r>
        <w:rPr>
          <w:rFonts w:ascii="Calibri" w:hAnsi="Calibri"/>
        </w:rPr>
        <w:t>P = parliamentary democracy and the right to vote</w:t>
      </w:r>
    </w:p>
    <w:p w:rsidR="00BD26CA" w:rsidRDefault="00D052FE" w:rsidP="006960C3">
      <w:pPr>
        <w:pStyle w:val="NormalWeb"/>
        <w:ind w:firstLine="720"/>
        <w:rPr>
          <w:rFonts w:ascii="Calibri" w:hAnsi="Calibri"/>
        </w:rPr>
      </w:pPr>
      <w:r>
        <w:rPr>
          <w:rFonts w:ascii="Calibri" w:hAnsi="Calibri"/>
        </w:rPr>
        <w:t>E = enterprise, employment and the right to a minimum wage</w:t>
      </w:r>
    </w:p>
    <w:p w:rsidR="00BD26CA" w:rsidRDefault="00BD26CA" w:rsidP="006960C3">
      <w:pPr>
        <w:pStyle w:val="NormalWeb"/>
        <w:ind w:firstLine="720"/>
        <w:rPr>
          <w:rFonts w:ascii="Calibri" w:hAnsi="Calibri"/>
        </w:rPr>
      </w:pPr>
      <w:r>
        <w:rPr>
          <w:rFonts w:ascii="Calibri" w:hAnsi="Calibri"/>
        </w:rPr>
        <w:t>C = community</w:t>
      </w:r>
      <w:r w:rsidR="00D052FE">
        <w:rPr>
          <w:rFonts w:ascii="Calibri" w:hAnsi="Calibri"/>
        </w:rPr>
        <w:t xml:space="preserve"> cohesion whilst respecting the right to be different </w:t>
      </w:r>
    </w:p>
    <w:p w:rsidR="00BD26CA" w:rsidRDefault="00BD26CA" w:rsidP="006960C3">
      <w:pPr>
        <w:pStyle w:val="NormalWeb"/>
        <w:ind w:firstLine="720"/>
        <w:rPr>
          <w:rFonts w:ascii="Calibri" w:hAnsi="Calibri"/>
        </w:rPr>
      </w:pPr>
      <w:r>
        <w:rPr>
          <w:rFonts w:ascii="Calibri" w:hAnsi="Calibri"/>
        </w:rPr>
        <w:t>T = tolerance of others regardless of culture, religion or belief</w:t>
      </w:r>
    </w:p>
    <w:p w:rsidR="00572313" w:rsidRDefault="00572313" w:rsidP="00D052FE">
      <w:pPr>
        <w:pStyle w:val="NormalWeb"/>
        <w:ind w:left="720"/>
        <w:rPr>
          <w:rFonts w:ascii="Calibri" w:hAnsi="Calibri"/>
        </w:rPr>
      </w:pPr>
    </w:p>
    <w:p w:rsidR="00CA7367" w:rsidRDefault="00CA7367" w:rsidP="00D052FE">
      <w:pPr>
        <w:pStyle w:val="NormalWeb"/>
        <w:ind w:left="720"/>
        <w:rPr>
          <w:rFonts w:ascii="Calibri" w:hAnsi="Calibri"/>
        </w:rPr>
      </w:pPr>
    </w:p>
    <w:p w:rsidR="00BD26CA" w:rsidRDefault="00E93EB5" w:rsidP="00D052FE">
      <w:pPr>
        <w:pStyle w:val="NormalWeb"/>
        <w:ind w:left="720"/>
        <w:rPr>
          <w:rFonts w:ascii="Calibri" w:hAnsi="Calibri"/>
        </w:rPr>
      </w:pPr>
      <w:r>
        <w:rPr>
          <w:rFonts w:ascii="Calibri" w:hAnsi="Calibri"/>
        </w:rPr>
        <w:t>These principles and values</w:t>
      </w:r>
      <w:r w:rsidR="00D052FE">
        <w:rPr>
          <w:rFonts w:ascii="Calibri" w:hAnsi="Calibri"/>
        </w:rPr>
        <w:t xml:space="preserve"> are delivered throughout the structured and extended curriculum</w:t>
      </w:r>
      <w:r w:rsidR="00492059">
        <w:rPr>
          <w:rFonts w:ascii="Calibri" w:hAnsi="Calibri"/>
        </w:rPr>
        <w:t xml:space="preserve"> by all staff including office, lunch time supervisors and visiting practitioners</w:t>
      </w:r>
      <w:r w:rsidR="00D052FE">
        <w:rPr>
          <w:rFonts w:ascii="Calibri" w:hAnsi="Calibri"/>
        </w:rPr>
        <w:t>.  They are the principles that</w:t>
      </w:r>
      <w:r w:rsidR="00492059">
        <w:rPr>
          <w:rFonts w:ascii="Calibri" w:hAnsi="Calibri"/>
        </w:rPr>
        <w:t xml:space="preserve"> underpin</w:t>
      </w:r>
      <w:r w:rsidR="00D052FE">
        <w:rPr>
          <w:rFonts w:ascii="Calibri" w:hAnsi="Calibri"/>
        </w:rPr>
        <w:t xml:space="preserve"> our interactions with pupils, parents and p</w:t>
      </w:r>
      <w:r w:rsidR="00492059">
        <w:rPr>
          <w:rFonts w:ascii="Calibri" w:hAnsi="Calibri"/>
        </w:rPr>
        <w:t xml:space="preserve">artners of the school.  </w:t>
      </w:r>
      <w:r w:rsidR="00D052FE">
        <w:rPr>
          <w:rFonts w:ascii="Calibri" w:hAnsi="Calibri"/>
        </w:rPr>
        <w:t xml:space="preserve"> </w:t>
      </w:r>
    </w:p>
    <w:p w:rsidR="00E93EB5" w:rsidRDefault="00E93EB5" w:rsidP="00E93EB5">
      <w:pPr>
        <w:pStyle w:val="NormalWeb"/>
        <w:numPr>
          <w:ilvl w:val="0"/>
          <w:numId w:val="1"/>
        </w:numPr>
        <w:rPr>
          <w:rFonts w:ascii="Calibri" w:hAnsi="Calibri"/>
        </w:rPr>
      </w:pPr>
      <w:r>
        <w:rPr>
          <w:rFonts w:ascii="Calibri" w:hAnsi="Calibri"/>
        </w:rPr>
        <w:t>CONTENT and FOCUS</w:t>
      </w:r>
    </w:p>
    <w:p w:rsidR="00E93EB5" w:rsidRDefault="00E93EB5" w:rsidP="003D2656">
      <w:pPr>
        <w:pStyle w:val="NormalWeb"/>
        <w:ind w:left="360"/>
        <w:jc w:val="both"/>
        <w:rPr>
          <w:rFonts w:ascii="Calibri" w:hAnsi="Calibri"/>
        </w:rPr>
      </w:pPr>
      <w:r>
        <w:rPr>
          <w:rFonts w:ascii="Calibri" w:hAnsi="Calibri"/>
        </w:rPr>
        <w:t>R = right to freedom of speech and individual opinion within the rule of law</w:t>
      </w:r>
    </w:p>
    <w:p w:rsidR="00E93EB5" w:rsidRDefault="00E93EB5" w:rsidP="00E93EB5">
      <w:pPr>
        <w:pStyle w:val="NormalWeb"/>
        <w:ind w:left="720"/>
        <w:jc w:val="both"/>
        <w:rPr>
          <w:rFonts w:ascii="Calibri" w:hAnsi="Calibri"/>
        </w:rPr>
      </w:pPr>
      <w:r>
        <w:rPr>
          <w:rFonts w:ascii="Calibri" w:hAnsi="Calibri"/>
        </w:rPr>
        <w:t xml:space="preserve">At Belvue School we teach young people about their right to have an opinion </w:t>
      </w:r>
      <w:r w:rsidR="003D2656">
        <w:rPr>
          <w:rFonts w:ascii="Calibri" w:hAnsi="Calibri"/>
        </w:rPr>
        <w:t>and their right to share that opinion.  However we also teach that some opinions are against the law, for example, opinions that insight racial or religious hatred.  We provide structured opportunities for pupils to practice giving their opinion through for example, discussions, school council and questionnaires.</w:t>
      </w:r>
    </w:p>
    <w:p w:rsidR="003D2656" w:rsidRDefault="003D2656" w:rsidP="003D2656">
      <w:pPr>
        <w:pStyle w:val="NormalWeb"/>
        <w:jc w:val="both"/>
        <w:rPr>
          <w:rFonts w:ascii="Calibri" w:hAnsi="Calibri"/>
        </w:rPr>
      </w:pPr>
      <w:r>
        <w:rPr>
          <w:rFonts w:ascii="Calibri" w:hAnsi="Calibri"/>
        </w:rPr>
        <w:t xml:space="preserve">      E= equality regardless of gender, disability, age, sexuality, race</w:t>
      </w:r>
    </w:p>
    <w:p w:rsidR="003D2656" w:rsidRDefault="003D2656" w:rsidP="003D2656">
      <w:pPr>
        <w:pStyle w:val="NormalWeb"/>
        <w:ind w:left="720"/>
        <w:jc w:val="both"/>
        <w:rPr>
          <w:rFonts w:ascii="Calibri" w:hAnsi="Calibri"/>
        </w:rPr>
      </w:pPr>
      <w:r>
        <w:rPr>
          <w:rFonts w:ascii="Calibri" w:hAnsi="Calibri"/>
        </w:rPr>
        <w:t xml:space="preserve">At Belvue School we have an equal opportunities policy that covers all aspects of school life.  Staff act as role models and practice the principles of equality in all aspects of their practice.  They challenge pupils when they digress from these standards but whilst doing so, take the time to explain where pupils have transgressed.  The school celebrates diversity through assemblies, </w:t>
      </w:r>
      <w:r w:rsidR="00184C04">
        <w:rPr>
          <w:rFonts w:ascii="Calibri" w:hAnsi="Calibri"/>
        </w:rPr>
        <w:t>whole school celebrations, special events and the structured curriculum.</w:t>
      </w:r>
    </w:p>
    <w:p w:rsidR="00040705" w:rsidRDefault="00040705" w:rsidP="00040705">
      <w:pPr>
        <w:pStyle w:val="NormalWeb"/>
        <w:jc w:val="both"/>
        <w:rPr>
          <w:rFonts w:ascii="Calibri" w:hAnsi="Calibri"/>
        </w:rPr>
      </w:pPr>
      <w:r>
        <w:rPr>
          <w:rFonts w:ascii="Calibri" w:hAnsi="Calibri"/>
        </w:rPr>
        <w:t xml:space="preserve">      S = support for those in need through the NHS, the benefits system and international aid</w:t>
      </w:r>
    </w:p>
    <w:p w:rsidR="00040705" w:rsidRDefault="00040705" w:rsidP="00040705">
      <w:pPr>
        <w:pStyle w:val="NormalWeb"/>
        <w:ind w:left="720"/>
        <w:jc w:val="both"/>
        <w:rPr>
          <w:rFonts w:ascii="Calibri" w:hAnsi="Calibri"/>
        </w:rPr>
      </w:pPr>
      <w:r>
        <w:rPr>
          <w:rFonts w:ascii="Calibri" w:hAnsi="Calibri"/>
        </w:rPr>
        <w:t>Pupils learn about the role of the NHS and the benefits system through the structured curriculum. They are taught how taxes are raised and pay for these support systems.  They are taught how they pay taxes both through employment and indirectly through VAT etc. They are taught the value of this system in supporting less advantaged members of our community and the universal health of the nation.  Pupils participate in a range of fund-raising events to support their understanding of international aid and the needs of people in other countries who may be encountering war, famine or a natural disaster.  School assemblies and the structured curriculum also support this work.</w:t>
      </w:r>
    </w:p>
    <w:p w:rsidR="00F15447" w:rsidRDefault="00F15447" w:rsidP="00F15447">
      <w:pPr>
        <w:pStyle w:val="NormalWeb"/>
        <w:rPr>
          <w:rFonts w:ascii="Calibri" w:hAnsi="Calibri"/>
        </w:rPr>
      </w:pPr>
      <w:r>
        <w:rPr>
          <w:rFonts w:ascii="Calibri" w:hAnsi="Calibri"/>
        </w:rPr>
        <w:t xml:space="preserve">       P = parliamentary democracy and the right to vote</w:t>
      </w:r>
    </w:p>
    <w:p w:rsidR="00F15447" w:rsidRDefault="00F15447" w:rsidP="00992701">
      <w:pPr>
        <w:pStyle w:val="NormalWeb"/>
        <w:ind w:left="720"/>
        <w:jc w:val="both"/>
        <w:rPr>
          <w:rFonts w:ascii="Calibri" w:hAnsi="Calibri"/>
        </w:rPr>
      </w:pPr>
      <w:r>
        <w:rPr>
          <w:rFonts w:ascii="Calibri" w:hAnsi="Calibri"/>
        </w:rPr>
        <w:t xml:space="preserve">Pupils learn about the parliamentary system through the </w:t>
      </w:r>
      <w:r w:rsidR="004B489B">
        <w:rPr>
          <w:rFonts w:ascii="Calibri" w:hAnsi="Calibri"/>
        </w:rPr>
        <w:t>structured curriculum.  Pupils participate in role play elections during national and local election.  Pupils also participate in elections annually for the school council which also involves the process of hustings.  Assemblies and vertical tutor time also teaches about democracy and using voting to support choice making</w:t>
      </w:r>
      <w:r w:rsidR="00520E20">
        <w:rPr>
          <w:rFonts w:ascii="Calibri" w:hAnsi="Calibri"/>
        </w:rPr>
        <w:t>.</w:t>
      </w:r>
    </w:p>
    <w:p w:rsidR="00520E20" w:rsidRDefault="00520E20" w:rsidP="00992701">
      <w:pPr>
        <w:pStyle w:val="NormalWeb"/>
        <w:jc w:val="both"/>
        <w:rPr>
          <w:rFonts w:ascii="Calibri" w:hAnsi="Calibri"/>
        </w:rPr>
      </w:pPr>
      <w:r>
        <w:rPr>
          <w:rFonts w:ascii="Calibri" w:hAnsi="Calibri"/>
        </w:rPr>
        <w:t xml:space="preserve">      E = Enterprise, employment and the right to a minimum wage</w:t>
      </w:r>
    </w:p>
    <w:p w:rsidR="00520E20" w:rsidRDefault="00520E20" w:rsidP="00992701">
      <w:pPr>
        <w:pStyle w:val="NormalWeb"/>
        <w:jc w:val="both"/>
        <w:rPr>
          <w:rFonts w:ascii="Calibri" w:hAnsi="Calibri"/>
        </w:rPr>
      </w:pPr>
    </w:p>
    <w:p w:rsidR="00572313" w:rsidRDefault="00572313" w:rsidP="00992701">
      <w:pPr>
        <w:pStyle w:val="NormalWeb"/>
        <w:ind w:left="720"/>
        <w:jc w:val="both"/>
        <w:rPr>
          <w:rFonts w:ascii="Calibri" w:hAnsi="Calibri"/>
        </w:rPr>
      </w:pPr>
    </w:p>
    <w:p w:rsidR="00572313" w:rsidRDefault="00572313" w:rsidP="00992701">
      <w:pPr>
        <w:pStyle w:val="NormalWeb"/>
        <w:ind w:left="720"/>
        <w:jc w:val="both"/>
        <w:rPr>
          <w:rFonts w:ascii="Calibri" w:hAnsi="Calibri"/>
        </w:rPr>
      </w:pPr>
    </w:p>
    <w:p w:rsidR="00572313" w:rsidRDefault="00572313" w:rsidP="00992701">
      <w:pPr>
        <w:pStyle w:val="NormalWeb"/>
        <w:ind w:left="720"/>
        <w:jc w:val="both"/>
        <w:rPr>
          <w:rFonts w:ascii="Calibri" w:hAnsi="Calibri"/>
        </w:rPr>
      </w:pPr>
    </w:p>
    <w:p w:rsidR="00E357B5" w:rsidRDefault="00520E20" w:rsidP="00992701">
      <w:pPr>
        <w:pStyle w:val="NormalWeb"/>
        <w:ind w:left="720"/>
        <w:jc w:val="both"/>
        <w:rPr>
          <w:rFonts w:ascii="Calibri" w:hAnsi="Calibri"/>
        </w:rPr>
      </w:pPr>
      <w:r>
        <w:rPr>
          <w:rFonts w:ascii="Calibri" w:hAnsi="Calibri"/>
        </w:rPr>
        <w:t>Belvue School is outcomes focused with the aim of supporting all our young people into meaningful work.  Although the curriculum is extremely broad and balanced the focus in Key Stage 4 and particularly in Key Stage 5 is vocational.  In Key Stage 5 much of the learning occurs within the community with external partners. The aim of this work is to instil in young people the belief that they can make a meaningful contribution to their community through paid and voluntary work.  The young people also run a variety of mini-ent</w:t>
      </w:r>
      <w:r w:rsidR="00E357B5">
        <w:rPr>
          <w:rFonts w:ascii="Calibri" w:hAnsi="Calibri"/>
        </w:rPr>
        <w:t>erprises to support them in their</w:t>
      </w:r>
      <w:r>
        <w:rPr>
          <w:rFonts w:ascii="Calibri" w:hAnsi="Calibri"/>
        </w:rPr>
        <w:t xml:space="preserve"> understanding </w:t>
      </w:r>
      <w:r w:rsidR="00E357B5">
        <w:rPr>
          <w:rFonts w:ascii="Calibri" w:hAnsi="Calibri"/>
        </w:rPr>
        <w:t>and development of the skills for employment and the variety of employment routes available to them.</w:t>
      </w:r>
    </w:p>
    <w:p w:rsidR="00E357B5" w:rsidRDefault="00E357B5" w:rsidP="00992701">
      <w:pPr>
        <w:pStyle w:val="NormalWeb"/>
        <w:jc w:val="both"/>
        <w:rPr>
          <w:rFonts w:ascii="Calibri" w:hAnsi="Calibri"/>
        </w:rPr>
      </w:pPr>
      <w:r>
        <w:rPr>
          <w:rFonts w:ascii="Calibri" w:hAnsi="Calibri"/>
        </w:rPr>
        <w:t xml:space="preserve">      </w:t>
      </w:r>
      <w:proofErr w:type="gramStart"/>
      <w:r>
        <w:rPr>
          <w:rFonts w:ascii="Calibri" w:hAnsi="Calibri"/>
        </w:rPr>
        <w:t>C  =</w:t>
      </w:r>
      <w:proofErr w:type="gramEnd"/>
      <w:r>
        <w:rPr>
          <w:rFonts w:ascii="Calibri" w:hAnsi="Calibri"/>
        </w:rPr>
        <w:t xml:space="preserve">  Community cohesion whilst respecting the right to be different </w:t>
      </w:r>
    </w:p>
    <w:p w:rsidR="00E357B5" w:rsidRDefault="00E357B5" w:rsidP="00992701">
      <w:pPr>
        <w:pStyle w:val="NormalWeb"/>
        <w:ind w:left="720"/>
        <w:jc w:val="both"/>
        <w:rPr>
          <w:rFonts w:ascii="Calibri" w:hAnsi="Calibri"/>
        </w:rPr>
      </w:pPr>
      <w:r>
        <w:rPr>
          <w:rFonts w:ascii="Calibri" w:hAnsi="Calibri"/>
        </w:rPr>
        <w:t>Pupils learn that community cohesion is one where: there is a common vision and a sense of belonging for all communities.  This is supported by the structured curriculum in particular religious education and humanities. It is also supported by our assembly programme and special events marking religious and cultural events.</w:t>
      </w:r>
    </w:p>
    <w:p w:rsidR="00E357B5" w:rsidRDefault="00E357B5" w:rsidP="00992701">
      <w:pPr>
        <w:pStyle w:val="NormalWeb"/>
        <w:tabs>
          <w:tab w:val="left" w:pos="6915"/>
        </w:tabs>
        <w:jc w:val="both"/>
        <w:rPr>
          <w:rFonts w:ascii="Calibri" w:hAnsi="Calibri"/>
        </w:rPr>
      </w:pPr>
      <w:r>
        <w:rPr>
          <w:rFonts w:ascii="Calibri" w:hAnsi="Calibri"/>
        </w:rPr>
        <w:t xml:space="preserve">       T = Tolerance of others regardless of culture, religion or belief</w:t>
      </w:r>
      <w:r>
        <w:rPr>
          <w:rFonts w:ascii="Calibri" w:hAnsi="Calibri"/>
        </w:rPr>
        <w:tab/>
      </w:r>
    </w:p>
    <w:p w:rsidR="00E357B5" w:rsidRDefault="00E357B5" w:rsidP="00992701">
      <w:pPr>
        <w:pStyle w:val="NormalWeb"/>
        <w:tabs>
          <w:tab w:val="left" w:pos="6915"/>
        </w:tabs>
        <w:ind w:left="720"/>
        <w:jc w:val="both"/>
        <w:rPr>
          <w:rFonts w:ascii="Calibri" w:hAnsi="Calibri"/>
        </w:rPr>
      </w:pPr>
      <w:r>
        <w:rPr>
          <w:rFonts w:ascii="Calibri" w:hAnsi="Calibri"/>
        </w:rPr>
        <w:t xml:space="preserve">Pupils learn about the diversity of our schools multi-cultural, multi-ethnic </w:t>
      </w:r>
      <w:r w:rsidR="00CA380C">
        <w:rPr>
          <w:rFonts w:ascii="Calibri" w:hAnsi="Calibri"/>
        </w:rPr>
        <w:t>constitution. Through the curriculum, pastoral system of vertical tutoring and the modelling of staff behaviour and relationships they are taught to value and appreciate the diversity of people’s different backgrounds and circumstances.</w:t>
      </w:r>
    </w:p>
    <w:p w:rsidR="006D083C" w:rsidRDefault="00E357B5" w:rsidP="00992701">
      <w:pPr>
        <w:pStyle w:val="NormalWeb"/>
        <w:jc w:val="both"/>
        <w:rPr>
          <w:rFonts w:ascii="Calibri" w:hAnsi="Calibri"/>
        </w:rPr>
      </w:pPr>
      <w:r>
        <w:rPr>
          <w:rFonts w:ascii="Calibri" w:hAnsi="Calibri"/>
        </w:rPr>
        <w:t xml:space="preserve"> </w:t>
      </w:r>
    </w:p>
    <w:p w:rsidR="00CA380C" w:rsidRDefault="006D083C" w:rsidP="00992701">
      <w:pPr>
        <w:pStyle w:val="NormalWeb"/>
        <w:jc w:val="both"/>
        <w:rPr>
          <w:rFonts w:ascii="Calibri" w:hAnsi="Calibri"/>
        </w:rPr>
      </w:pPr>
      <w:r>
        <w:rPr>
          <w:rFonts w:ascii="Calibri" w:hAnsi="Calibri"/>
        </w:rPr>
        <w:t>Reviewed: May 2021</w:t>
      </w:r>
      <w:r w:rsidR="00E357B5">
        <w:rPr>
          <w:rFonts w:ascii="Calibri" w:hAnsi="Calibri"/>
        </w:rPr>
        <w:tab/>
      </w:r>
    </w:p>
    <w:p w:rsidR="006D083C" w:rsidRDefault="006D083C" w:rsidP="00992701">
      <w:pPr>
        <w:pStyle w:val="NormalWeb"/>
        <w:jc w:val="both"/>
        <w:rPr>
          <w:rFonts w:ascii="Calibri" w:hAnsi="Calibri"/>
        </w:rPr>
      </w:pPr>
      <w:r>
        <w:rPr>
          <w:rFonts w:ascii="Calibri" w:hAnsi="Calibri"/>
        </w:rPr>
        <w:t>Review: September 2022</w:t>
      </w:r>
    </w:p>
    <w:p w:rsidR="00E357B5" w:rsidRDefault="00E357B5" w:rsidP="00992701">
      <w:pPr>
        <w:pStyle w:val="NormalWeb"/>
        <w:tabs>
          <w:tab w:val="left" w:pos="6915"/>
        </w:tabs>
        <w:jc w:val="both"/>
        <w:rPr>
          <w:rFonts w:ascii="Calibri" w:hAnsi="Calibri"/>
        </w:rPr>
      </w:pPr>
    </w:p>
    <w:p w:rsidR="00E357B5" w:rsidRDefault="00E357B5" w:rsidP="00992701">
      <w:pPr>
        <w:pStyle w:val="NormalWeb"/>
        <w:jc w:val="both"/>
        <w:rPr>
          <w:rFonts w:ascii="Calibri" w:hAnsi="Calibri"/>
        </w:rPr>
      </w:pPr>
    </w:p>
    <w:p w:rsidR="00992701" w:rsidRDefault="00992701"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sectPr w:rsidR="00567992" w:rsidSect="00572313">
          <w:pgSz w:w="11906" w:h="16838"/>
          <w:pgMar w:top="284" w:right="1440" w:bottom="1440" w:left="1440" w:header="709" w:footer="709" w:gutter="0"/>
          <w:cols w:space="708"/>
          <w:docGrid w:linePitch="360"/>
        </w:sectPr>
      </w:pPr>
    </w:p>
    <w:p w:rsidR="00567992" w:rsidRDefault="00D44625" w:rsidP="00992701">
      <w:pPr>
        <w:pStyle w:val="NormalWeb"/>
        <w:ind w:left="720"/>
        <w:jc w:val="both"/>
        <w:rPr>
          <w:rFonts w:ascii="Calibri" w:hAnsi="Calibri"/>
        </w:rPr>
      </w:pPr>
      <w:r>
        <w:rPr>
          <w:rFonts w:ascii="Calibri" w:hAnsi="Calibri"/>
        </w:rPr>
        <w:lastRenderedPageBreak/>
        <w:t xml:space="preserve">CURRICULUM </w:t>
      </w:r>
      <w:r w:rsidR="00567992">
        <w:rPr>
          <w:rFonts w:ascii="Calibri" w:hAnsi="Calibri"/>
        </w:rPr>
        <w:t>MAPPING</w:t>
      </w:r>
      <w:r>
        <w:rPr>
          <w:rFonts w:ascii="Calibri" w:hAnsi="Calibri"/>
        </w:rPr>
        <w:t xml:space="preserve"> OF</w:t>
      </w:r>
      <w:r w:rsidR="00567992">
        <w:rPr>
          <w:rFonts w:ascii="Calibri" w:hAnsi="Calibri"/>
        </w:rPr>
        <w:t xml:space="preserve"> </w:t>
      </w:r>
      <w:r w:rsidR="00567992" w:rsidRPr="00D44625">
        <w:rPr>
          <w:rFonts w:ascii="Calibri" w:hAnsi="Calibri"/>
          <w:sz w:val="36"/>
          <w:szCs w:val="36"/>
        </w:rPr>
        <w:t xml:space="preserve">RESPECT </w:t>
      </w:r>
    </w:p>
    <w:p w:rsidR="00567992" w:rsidRDefault="00567992" w:rsidP="00992701">
      <w:pPr>
        <w:pStyle w:val="NormalWeb"/>
        <w:ind w:left="720"/>
        <w:jc w:val="both"/>
        <w:rPr>
          <w:rFonts w:ascii="Calibri" w:hAnsi="Calibri"/>
        </w:rPr>
      </w:pPr>
    </w:p>
    <w:p w:rsidR="00567992" w:rsidRDefault="00567992" w:rsidP="00992701">
      <w:pPr>
        <w:pStyle w:val="NormalWeb"/>
        <w:ind w:left="720"/>
        <w:jc w:val="both"/>
        <w:rPr>
          <w:rFonts w:ascii="Calibri" w:hAnsi="Calibri"/>
        </w:rPr>
      </w:pPr>
    </w:p>
    <w:tbl>
      <w:tblPr>
        <w:tblStyle w:val="TableGrid"/>
        <w:tblW w:w="0" w:type="auto"/>
        <w:tblInd w:w="720" w:type="dxa"/>
        <w:tblLook w:val="04A0" w:firstRow="1" w:lastRow="0" w:firstColumn="1" w:lastColumn="0" w:noHBand="0" w:noVBand="1"/>
      </w:tblPr>
      <w:tblGrid>
        <w:gridCol w:w="1891"/>
        <w:gridCol w:w="1952"/>
        <w:gridCol w:w="1865"/>
        <w:gridCol w:w="1853"/>
        <w:gridCol w:w="1879"/>
        <w:gridCol w:w="1894"/>
        <w:gridCol w:w="1894"/>
      </w:tblGrid>
      <w:tr w:rsidR="00567992" w:rsidTr="00567992">
        <w:tc>
          <w:tcPr>
            <w:tcW w:w="1917" w:type="dxa"/>
          </w:tcPr>
          <w:p w:rsidR="00567992" w:rsidRDefault="00567992" w:rsidP="00567992">
            <w:pPr>
              <w:pStyle w:val="NormalWeb"/>
              <w:jc w:val="both"/>
              <w:rPr>
                <w:rFonts w:ascii="Calibri" w:hAnsi="Calibri"/>
              </w:rPr>
            </w:pPr>
            <w:r>
              <w:rPr>
                <w:rFonts w:ascii="Calibri" w:hAnsi="Calibri"/>
              </w:rPr>
              <w:br w:type="page"/>
              <w:t>ACRONYMN</w:t>
            </w:r>
          </w:p>
        </w:tc>
        <w:tc>
          <w:tcPr>
            <w:tcW w:w="1982" w:type="dxa"/>
          </w:tcPr>
          <w:p w:rsidR="00567992" w:rsidRPr="00567992" w:rsidRDefault="00567992" w:rsidP="00567992">
            <w:pPr>
              <w:pStyle w:val="NormalWeb"/>
              <w:jc w:val="both"/>
              <w:rPr>
                <w:rFonts w:ascii="Calibri" w:hAnsi="Calibri"/>
                <w:sz w:val="20"/>
                <w:szCs w:val="20"/>
              </w:rPr>
            </w:pPr>
            <w:r>
              <w:rPr>
                <w:rFonts w:ascii="Calibri" w:hAnsi="Calibri"/>
                <w:sz w:val="20"/>
                <w:szCs w:val="20"/>
              </w:rPr>
              <w:t xml:space="preserve">FOCUS </w:t>
            </w:r>
          </w:p>
        </w:tc>
        <w:tc>
          <w:tcPr>
            <w:tcW w:w="1911" w:type="dxa"/>
          </w:tcPr>
          <w:p w:rsidR="00567992" w:rsidRDefault="00567992" w:rsidP="00992701">
            <w:pPr>
              <w:pStyle w:val="NormalWeb"/>
              <w:jc w:val="both"/>
              <w:rPr>
                <w:rFonts w:ascii="Calibri" w:hAnsi="Calibri"/>
              </w:rPr>
            </w:pPr>
            <w:r>
              <w:rPr>
                <w:rFonts w:ascii="Calibri" w:hAnsi="Calibri"/>
              </w:rPr>
              <w:t>Vertical tutor time</w:t>
            </w:r>
          </w:p>
        </w:tc>
        <w:tc>
          <w:tcPr>
            <w:tcW w:w="1911" w:type="dxa"/>
          </w:tcPr>
          <w:p w:rsidR="00567992" w:rsidRDefault="00D44625" w:rsidP="00992701">
            <w:pPr>
              <w:pStyle w:val="NormalWeb"/>
              <w:jc w:val="both"/>
              <w:rPr>
                <w:rFonts w:ascii="Calibri" w:hAnsi="Calibri"/>
              </w:rPr>
            </w:pPr>
            <w:r>
              <w:rPr>
                <w:rFonts w:ascii="Calibri" w:hAnsi="Calibri"/>
              </w:rPr>
              <w:t>PSHE</w:t>
            </w:r>
          </w:p>
        </w:tc>
        <w:tc>
          <w:tcPr>
            <w:tcW w:w="1911" w:type="dxa"/>
          </w:tcPr>
          <w:p w:rsidR="00567992" w:rsidRDefault="00D44625" w:rsidP="00992701">
            <w:pPr>
              <w:pStyle w:val="NormalWeb"/>
              <w:jc w:val="both"/>
              <w:rPr>
                <w:rFonts w:ascii="Calibri" w:hAnsi="Calibri"/>
              </w:rPr>
            </w:pPr>
            <w:r>
              <w:rPr>
                <w:rFonts w:ascii="Calibri" w:hAnsi="Calibri"/>
              </w:rPr>
              <w:t>EXTENDED SCHOOLS</w:t>
            </w:r>
          </w:p>
        </w:tc>
        <w:tc>
          <w:tcPr>
            <w:tcW w:w="1911" w:type="dxa"/>
          </w:tcPr>
          <w:p w:rsidR="00567992" w:rsidRDefault="00D44625" w:rsidP="00992701">
            <w:pPr>
              <w:pStyle w:val="NormalWeb"/>
              <w:jc w:val="both"/>
              <w:rPr>
                <w:rFonts w:ascii="Calibri" w:hAnsi="Calibri"/>
              </w:rPr>
            </w:pPr>
            <w:r>
              <w:rPr>
                <w:rFonts w:ascii="Calibri" w:hAnsi="Calibri"/>
              </w:rPr>
              <w:t>OTHER CURRICULUM AREAS</w:t>
            </w:r>
          </w:p>
        </w:tc>
        <w:tc>
          <w:tcPr>
            <w:tcW w:w="1911" w:type="dxa"/>
          </w:tcPr>
          <w:p w:rsidR="00567992" w:rsidRDefault="00D44625" w:rsidP="00992701">
            <w:pPr>
              <w:pStyle w:val="NormalWeb"/>
              <w:jc w:val="both"/>
              <w:rPr>
                <w:rFonts w:ascii="Calibri" w:hAnsi="Calibri"/>
              </w:rPr>
            </w:pPr>
            <w:r>
              <w:rPr>
                <w:rFonts w:ascii="Calibri" w:hAnsi="Calibri"/>
              </w:rPr>
              <w:t>EXTENDED CURRICULUM</w:t>
            </w:r>
          </w:p>
        </w:tc>
      </w:tr>
      <w:tr w:rsidR="00992701" w:rsidTr="00567992">
        <w:tc>
          <w:tcPr>
            <w:tcW w:w="1917" w:type="dxa"/>
          </w:tcPr>
          <w:p w:rsidR="00992701" w:rsidRPr="00567992" w:rsidRDefault="00992701" w:rsidP="00992701">
            <w:pPr>
              <w:pStyle w:val="NormalWeb"/>
              <w:jc w:val="both"/>
              <w:rPr>
                <w:rFonts w:ascii="Calibri" w:hAnsi="Calibri"/>
                <w:sz w:val="72"/>
                <w:szCs w:val="72"/>
              </w:rPr>
            </w:pPr>
            <w:r w:rsidRPr="00567992">
              <w:rPr>
                <w:rFonts w:ascii="Calibri" w:hAnsi="Calibri"/>
                <w:sz w:val="72"/>
                <w:szCs w:val="72"/>
              </w:rPr>
              <w:t>R</w:t>
            </w:r>
          </w:p>
        </w:tc>
        <w:tc>
          <w:tcPr>
            <w:tcW w:w="1982" w:type="dxa"/>
          </w:tcPr>
          <w:p w:rsidR="00992701" w:rsidRPr="00567992" w:rsidRDefault="00992701" w:rsidP="00567992">
            <w:pPr>
              <w:pStyle w:val="NormalWeb"/>
              <w:jc w:val="both"/>
              <w:rPr>
                <w:rFonts w:ascii="Calibri" w:hAnsi="Calibri"/>
                <w:sz w:val="20"/>
                <w:szCs w:val="20"/>
              </w:rPr>
            </w:pPr>
            <w:r w:rsidRPr="00567992">
              <w:rPr>
                <w:rFonts w:ascii="Calibri" w:hAnsi="Calibri"/>
                <w:sz w:val="20"/>
                <w:szCs w:val="20"/>
              </w:rPr>
              <w:t>right to freedom of speech and individual opinion within the rule of law</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992701" w:rsidP="00992701">
            <w:pPr>
              <w:pStyle w:val="NormalWeb"/>
              <w:rPr>
                <w:rFonts w:ascii="Calibri" w:hAnsi="Calibri"/>
                <w:sz w:val="72"/>
                <w:szCs w:val="72"/>
              </w:rPr>
            </w:pPr>
            <w:r w:rsidRPr="00567992">
              <w:rPr>
                <w:rFonts w:ascii="Calibri" w:hAnsi="Calibri"/>
                <w:sz w:val="72"/>
                <w:szCs w:val="72"/>
              </w:rPr>
              <w:t>E</w:t>
            </w:r>
          </w:p>
        </w:tc>
        <w:tc>
          <w:tcPr>
            <w:tcW w:w="1982" w:type="dxa"/>
          </w:tcPr>
          <w:p w:rsidR="00992701" w:rsidRPr="00567992" w:rsidRDefault="00567992" w:rsidP="00992701">
            <w:pPr>
              <w:pStyle w:val="NormalWeb"/>
              <w:jc w:val="both"/>
              <w:rPr>
                <w:rFonts w:ascii="Calibri" w:hAnsi="Calibri"/>
                <w:sz w:val="20"/>
                <w:szCs w:val="20"/>
              </w:rPr>
            </w:pPr>
            <w:r w:rsidRPr="00567992">
              <w:rPr>
                <w:rFonts w:ascii="Calibri" w:hAnsi="Calibri"/>
                <w:sz w:val="20"/>
                <w:szCs w:val="20"/>
              </w:rPr>
              <w:t>equality regardless of gender, disability, age, sexuality, race</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992701" w:rsidP="00992701">
            <w:pPr>
              <w:pStyle w:val="NormalWeb"/>
              <w:jc w:val="both"/>
              <w:rPr>
                <w:rFonts w:ascii="Calibri" w:hAnsi="Calibri"/>
                <w:sz w:val="72"/>
                <w:szCs w:val="72"/>
              </w:rPr>
            </w:pPr>
            <w:r w:rsidRPr="00567992">
              <w:rPr>
                <w:rFonts w:ascii="Calibri" w:hAnsi="Calibri"/>
                <w:sz w:val="72"/>
                <w:szCs w:val="72"/>
              </w:rPr>
              <w:t>S</w:t>
            </w:r>
          </w:p>
        </w:tc>
        <w:tc>
          <w:tcPr>
            <w:tcW w:w="1982" w:type="dxa"/>
          </w:tcPr>
          <w:p w:rsidR="00992701" w:rsidRPr="00567992" w:rsidRDefault="00992701" w:rsidP="00992701">
            <w:pPr>
              <w:pStyle w:val="NormalWeb"/>
              <w:jc w:val="both"/>
              <w:rPr>
                <w:rFonts w:ascii="Calibri" w:hAnsi="Calibri"/>
                <w:sz w:val="20"/>
                <w:szCs w:val="20"/>
              </w:rPr>
            </w:pPr>
            <w:r w:rsidRPr="00567992">
              <w:rPr>
                <w:rFonts w:ascii="Calibri" w:hAnsi="Calibri"/>
                <w:sz w:val="20"/>
                <w:szCs w:val="20"/>
              </w:rPr>
              <w:t xml:space="preserve"> support for those in need through the NHS, the benefits system and international aid</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992701" w:rsidP="00992701">
            <w:pPr>
              <w:pStyle w:val="NormalWeb"/>
              <w:jc w:val="both"/>
              <w:rPr>
                <w:rFonts w:ascii="Calibri" w:hAnsi="Calibri"/>
                <w:sz w:val="72"/>
                <w:szCs w:val="72"/>
              </w:rPr>
            </w:pPr>
            <w:r w:rsidRPr="00567992">
              <w:rPr>
                <w:rFonts w:ascii="Calibri" w:hAnsi="Calibri"/>
                <w:sz w:val="72"/>
                <w:szCs w:val="72"/>
              </w:rPr>
              <w:t>P</w:t>
            </w:r>
          </w:p>
        </w:tc>
        <w:tc>
          <w:tcPr>
            <w:tcW w:w="1982" w:type="dxa"/>
          </w:tcPr>
          <w:p w:rsidR="00992701" w:rsidRPr="00567992" w:rsidRDefault="00992701" w:rsidP="00567992">
            <w:pPr>
              <w:pStyle w:val="NormalWeb"/>
              <w:rPr>
                <w:rFonts w:ascii="Calibri" w:hAnsi="Calibri"/>
                <w:sz w:val="20"/>
                <w:szCs w:val="20"/>
              </w:rPr>
            </w:pPr>
            <w:r w:rsidRPr="00567992">
              <w:rPr>
                <w:rFonts w:ascii="Calibri" w:hAnsi="Calibri"/>
                <w:sz w:val="20"/>
                <w:szCs w:val="20"/>
              </w:rPr>
              <w:t>Parliamentary democracy and the right to vote</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567992" w:rsidP="00992701">
            <w:pPr>
              <w:pStyle w:val="NormalWeb"/>
              <w:jc w:val="both"/>
              <w:rPr>
                <w:rFonts w:ascii="Calibri" w:hAnsi="Calibri"/>
                <w:sz w:val="72"/>
                <w:szCs w:val="72"/>
              </w:rPr>
            </w:pPr>
            <w:r w:rsidRPr="00567992">
              <w:rPr>
                <w:rFonts w:ascii="Calibri" w:hAnsi="Calibri"/>
                <w:sz w:val="72"/>
                <w:szCs w:val="72"/>
              </w:rPr>
              <w:t>E</w:t>
            </w:r>
          </w:p>
          <w:p w:rsidR="00992701" w:rsidRDefault="00992701" w:rsidP="00992701">
            <w:pPr>
              <w:pStyle w:val="NormalWeb"/>
              <w:jc w:val="both"/>
              <w:rPr>
                <w:rFonts w:ascii="Calibri" w:hAnsi="Calibri"/>
              </w:rPr>
            </w:pPr>
          </w:p>
        </w:tc>
        <w:tc>
          <w:tcPr>
            <w:tcW w:w="1982" w:type="dxa"/>
          </w:tcPr>
          <w:p w:rsidR="00992701" w:rsidRPr="00567992" w:rsidRDefault="00567992" w:rsidP="00992701">
            <w:pPr>
              <w:pStyle w:val="NormalWeb"/>
              <w:jc w:val="both"/>
              <w:rPr>
                <w:rFonts w:ascii="Calibri" w:hAnsi="Calibri"/>
                <w:sz w:val="20"/>
                <w:szCs w:val="20"/>
              </w:rPr>
            </w:pPr>
            <w:r w:rsidRPr="00567992">
              <w:rPr>
                <w:rFonts w:ascii="Calibri" w:hAnsi="Calibri"/>
                <w:sz w:val="20"/>
                <w:szCs w:val="20"/>
              </w:rPr>
              <w:t>enterprise, employment and the right to a minimum wage</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567992" w:rsidP="00992701">
            <w:pPr>
              <w:pStyle w:val="NormalWeb"/>
              <w:jc w:val="both"/>
              <w:rPr>
                <w:rFonts w:ascii="Calibri" w:hAnsi="Calibri"/>
                <w:sz w:val="72"/>
                <w:szCs w:val="72"/>
              </w:rPr>
            </w:pPr>
            <w:r>
              <w:rPr>
                <w:rFonts w:ascii="Calibri" w:hAnsi="Calibri"/>
                <w:sz w:val="72"/>
                <w:szCs w:val="72"/>
              </w:rPr>
              <w:lastRenderedPageBreak/>
              <w:t>C</w:t>
            </w:r>
          </w:p>
        </w:tc>
        <w:tc>
          <w:tcPr>
            <w:tcW w:w="1982" w:type="dxa"/>
          </w:tcPr>
          <w:p w:rsidR="00992701" w:rsidRPr="00567992" w:rsidRDefault="00567992" w:rsidP="00567992">
            <w:pPr>
              <w:pStyle w:val="NormalWeb"/>
              <w:rPr>
                <w:rFonts w:ascii="Calibri" w:hAnsi="Calibri"/>
                <w:sz w:val="20"/>
                <w:szCs w:val="20"/>
              </w:rPr>
            </w:pPr>
            <w:r w:rsidRPr="00567992">
              <w:rPr>
                <w:rFonts w:ascii="Calibri" w:hAnsi="Calibri"/>
                <w:sz w:val="20"/>
                <w:szCs w:val="20"/>
              </w:rPr>
              <w:t xml:space="preserve">community cohesion whilst respecting the right to be different </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r w:rsidR="00992701" w:rsidTr="00567992">
        <w:tc>
          <w:tcPr>
            <w:tcW w:w="1917" w:type="dxa"/>
          </w:tcPr>
          <w:p w:rsidR="00992701" w:rsidRPr="00567992" w:rsidRDefault="00567992" w:rsidP="00992701">
            <w:pPr>
              <w:pStyle w:val="NormalWeb"/>
              <w:jc w:val="both"/>
              <w:rPr>
                <w:rFonts w:ascii="Calibri" w:hAnsi="Calibri"/>
                <w:sz w:val="72"/>
                <w:szCs w:val="72"/>
              </w:rPr>
            </w:pPr>
            <w:r w:rsidRPr="00567992">
              <w:rPr>
                <w:rFonts w:ascii="Calibri" w:hAnsi="Calibri"/>
                <w:sz w:val="72"/>
                <w:szCs w:val="72"/>
              </w:rPr>
              <w:t>T</w:t>
            </w:r>
          </w:p>
        </w:tc>
        <w:tc>
          <w:tcPr>
            <w:tcW w:w="1982" w:type="dxa"/>
          </w:tcPr>
          <w:p w:rsidR="00992701" w:rsidRPr="00567992" w:rsidRDefault="00567992" w:rsidP="00567992">
            <w:pPr>
              <w:pStyle w:val="NormalWeb"/>
              <w:rPr>
                <w:rFonts w:ascii="Calibri" w:hAnsi="Calibri"/>
                <w:sz w:val="20"/>
                <w:szCs w:val="20"/>
              </w:rPr>
            </w:pPr>
            <w:r w:rsidRPr="00567992">
              <w:rPr>
                <w:rFonts w:ascii="Calibri" w:hAnsi="Calibri"/>
                <w:sz w:val="20"/>
                <w:szCs w:val="20"/>
              </w:rPr>
              <w:t>tolerance of others regardless of culture, religion or belief</w:t>
            </w: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c>
          <w:tcPr>
            <w:tcW w:w="1911" w:type="dxa"/>
          </w:tcPr>
          <w:p w:rsidR="00992701" w:rsidRDefault="00992701" w:rsidP="00992701">
            <w:pPr>
              <w:pStyle w:val="NormalWeb"/>
              <w:jc w:val="both"/>
              <w:rPr>
                <w:rFonts w:ascii="Calibri" w:hAnsi="Calibri"/>
              </w:rPr>
            </w:pPr>
          </w:p>
        </w:tc>
      </w:tr>
    </w:tbl>
    <w:p w:rsidR="00040705" w:rsidRDefault="00040705" w:rsidP="00992701">
      <w:pPr>
        <w:pStyle w:val="NormalWeb"/>
        <w:ind w:left="720"/>
        <w:jc w:val="both"/>
        <w:rPr>
          <w:rFonts w:ascii="Calibri" w:hAnsi="Calibri"/>
        </w:rPr>
      </w:pPr>
    </w:p>
    <w:p w:rsidR="003D2656" w:rsidRDefault="003D2656" w:rsidP="00992701">
      <w:pPr>
        <w:pStyle w:val="NormalWeb"/>
        <w:jc w:val="both"/>
        <w:rPr>
          <w:rFonts w:ascii="Calibri" w:hAnsi="Calibri"/>
        </w:rPr>
      </w:pPr>
    </w:p>
    <w:p w:rsidR="00E93EB5" w:rsidRDefault="00E93EB5" w:rsidP="00992701">
      <w:pPr>
        <w:pStyle w:val="NormalWeb"/>
        <w:ind w:left="720"/>
        <w:jc w:val="both"/>
        <w:rPr>
          <w:rFonts w:ascii="Calibri" w:hAnsi="Calibri"/>
        </w:rPr>
      </w:pPr>
    </w:p>
    <w:p w:rsidR="00E93EB5" w:rsidRDefault="00E93EB5" w:rsidP="00992701">
      <w:pPr>
        <w:pStyle w:val="NormalWeb"/>
        <w:ind w:left="720"/>
        <w:jc w:val="both"/>
        <w:rPr>
          <w:rFonts w:ascii="Calibri" w:hAnsi="Calibri"/>
        </w:rPr>
      </w:pPr>
    </w:p>
    <w:p w:rsidR="00E93EB5" w:rsidRDefault="00E93EB5" w:rsidP="00992701">
      <w:pPr>
        <w:pStyle w:val="NormalWeb"/>
        <w:jc w:val="both"/>
        <w:rPr>
          <w:rFonts w:ascii="Calibri" w:hAnsi="Calibri"/>
        </w:rPr>
      </w:pPr>
    </w:p>
    <w:p w:rsidR="00E93EB5" w:rsidRDefault="00E93EB5" w:rsidP="00992701">
      <w:pPr>
        <w:pStyle w:val="NormalWeb"/>
        <w:ind w:left="720"/>
        <w:jc w:val="both"/>
        <w:rPr>
          <w:rFonts w:ascii="Calibri" w:hAnsi="Calibri"/>
        </w:rPr>
      </w:pPr>
    </w:p>
    <w:p w:rsidR="00BD26CA" w:rsidRDefault="00BD26CA" w:rsidP="00992701">
      <w:pPr>
        <w:pStyle w:val="NormalWeb"/>
        <w:jc w:val="both"/>
        <w:rPr>
          <w:rFonts w:ascii="Calibri" w:hAnsi="Calibri"/>
        </w:rPr>
      </w:pPr>
    </w:p>
    <w:p w:rsidR="00BD26CA" w:rsidRDefault="00BD26CA" w:rsidP="00992701">
      <w:pPr>
        <w:pStyle w:val="NormalWeb"/>
        <w:jc w:val="both"/>
        <w:rPr>
          <w:rFonts w:ascii="Calibri" w:hAnsi="Calibri"/>
        </w:rPr>
      </w:pPr>
    </w:p>
    <w:p w:rsidR="00BD26CA" w:rsidRDefault="00BD26CA" w:rsidP="00BD26CA">
      <w:pPr>
        <w:pStyle w:val="NormalWeb"/>
        <w:rPr>
          <w:rFonts w:ascii="Calibri" w:hAnsi="Calibri"/>
        </w:rPr>
      </w:pPr>
    </w:p>
    <w:p w:rsidR="00EF6311" w:rsidRDefault="00EF6311"/>
    <w:sectPr w:rsidR="00EF6311" w:rsidSect="0056799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A0440"/>
    <w:multiLevelType w:val="multilevel"/>
    <w:tmpl w:val="492A4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CA"/>
    <w:rsid w:val="00040705"/>
    <w:rsid w:val="00184C04"/>
    <w:rsid w:val="001B52C9"/>
    <w:rsid w:val="001E3997"/>
    <w:rsid w:val="001F4168"/>
    <w:rsid w:val="003D2656"/>
    <w:rsid w:val="00492059"/>
    <w:rsid w:val="004B489B"/>
    <w:rsid w:val="00520E20"/>
    <w:rsid w:val="00567992"/>
    <w:rsid w:val="00572313"/>
    <w:rsid w:val="005E3D28"/>
    <w:rsid w:val="006960C3"/>
    <w:rsid w:val="006D083C"/>
    <w:rsid w:val="0073633F"/>
    <w:rsid w:val="00992701"/>
    <w:rsid w:val="00BD26CA"/>
    <w:rsid w:val="00CA380C"/>
    <w:rsid w:val="00CA7367"/>
    <w:rsid w:val="00CF0A39"/>
    <w:rsid w:val="00D052FE"/>
    <w:rsid w:val="00D44625"/>
    <w:rsid w:val="00D845B7"/>
    <w:rsid w:val="00DB1388"/>
    <w:rsid w:val="00DB2569"/>
    <w:rsid w:val="00DD2BB9"/>
    <w:rsid w:val="00E3392A"/>
    <w:rsid w:val="00E357B5"/>
    <w:rsid w:val="00E417F8"/>
    <w:rsid w:val="00E93EB5"/>
    <w:rsid w:val="00EF6311"/>
    <w:rsid w:val="00F15447"/>
    <w:rsid w:val="00F92924"/>
    <w:rsid w:val="00FD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5890"/>
  <w15:docId w15:val="{30BFC774-C4DF-4EC9-8C43-3E5FE8D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C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gc">
    <w:name w:val="_tgc"/>
    <w:basedOn w:val="DefaultParagraphFont"/>
    <w:rsid w:val="00E357B5"/>
  </w:style>
  <w:style w:type="table" w:styleId="TableGrid">
    <w:name w:val="Table Grid"/>
    <w:basedOn w:val="TableNormal"/>
    <w:uiPriority w:val="59"/>
    <w:rsid w:val="0099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588">
      <w:bodyDiv w:val="1"/>
      <w:marLeft w:val="0"/>
      <w:marRight w:val="0"/>
      <w:marTop w:val="0"/>
      <w:marBottom w:val="0"/>
      <w:divBdr>
        <w:top w:val="none" w:sz="0" w:space="0" w:color="auto"/>
        <w:left w:val="none" w:sz="0" w:space="0" w:color="auto"/>
        <w:bottom w:val="none" w:sz="0" w:space="0" w:color="auto"/>
        <w:right w:val="none" w:sz="0" w:space="0" w:color="auto"/>
      </w:divBdr>
    </w:div>
    <w:div w:id="275720008">
      <w:bodyDiv w:val="1"/>
      <w:marLeft w:val="0"/>
      <w:marRight w:val="0"/>
      <w:marTop w:val="0"/>
      <w:marBottom w:val="0"/>
      <w:divBdr>
        <w:top w:val="none" w:sz="0" w:space="0" w:color="auto"/>
        <w:left w:val="none" w:sz="0" w:space="0" w:color="auto"/>
        <w:bottom w:val="none" w:sz="0" w:space="0" w:color="auto"/>
        <w:right w:val="none" w:sz="0" w:space="0" w:color="auto"/>
      </w:divBdr>
    </w:div>
    <w:div w:id="397171046">
      <w:bodyDiv w:val="1"/>
      <w:marLeft w:val="0"/>
      <w:marRight w:val="0"/>
      <w:marTop w:val="0"/>
      <w:marBottom w:val="0"/>
      <w:divBdr>
        <w:top w:val="none" w:sz="0" w:space="0" w:color="auto"/>
        <w:left w:val="none" w:sz="0" w:space="0" w:color="auto"/>
        <w:bottom w:val="none" w:sz="0" w:space="0" w:color="auto"/>
        <w:right w:val="none" w:sz="0" w:space="0" w:color="auto"/>
      </w:divBdr>
    </w:div>
    <w:div w:id="459961822">
      <w:bodyDiv w:val="1"/>
      <w:marLeft w:val="0"/>
      <w:marRight w:val="0"/>
      <w:marTop w:val="0"/>
      <w:marBottom w:val="0"/>
      <w:divBdr>
        <w:top w:val="none" w:sz="0" w:space="0" w:color="auto"/>
        <w:left w:val="none" w:sz="0" w:space="0" w:color="auto"/>
        <w:bottom w:val="none" w:sz="0" w:space="0" w:color="auto"/>
        <w:right w:val="none" w:sz="0" w:space="0" w:color="auto"/>
      </w:divBdr>
    </w:div>
    <w:div w:id="752091324">
      <w:bodyDiv w:val="1"/>
      <w:marLeft w:val="0"/>
      <w:marRight w:val="0"/>
      <w:marTop w:val="0"/>
      <w:marBottom w:val="0"/>
      <w:divBdr>
        <w:top w:val="none" w:sz="0" w:space="0" w:color="auto"/>
        <w:left w:val="none" w:sz="0" w:space="0" w:color="auto"/>
        <w:bottom w:val="none" w:sz="0" w:space="0" w:color="auto"/>
        <w:right w:val="none" w:sz="0" w:space="0" w:color="auto"/>
      </w:divBdr>
    </w:div>
    <w:div w:id="761488065">
      <w:bodyDiv w:val="1"/>
      <w:marLeft w:val="0"/>
      <w:marRight w:val="0"/>
      <w:marTop w:val="0"/>
      <w:marBottom w:val="0"/>
      <w:divBdr>
        <w:top w:val="none" w:sz="0" w:space="0" w:color="auto"/>
        <w:left w:val="none" w:sz="0" w:space="0" w:color="auto"/>
        <w:bottom w:val="none" w:sz="0" w:space="0" w:color="auto"/>
        <w:right w:val="none" w:sz="0" w:space="0" w:color="auto"/>
      </w:divBdr>
    </w:div>
    <w:div w:id="991912624">
      <w:bodyDiv w:val="1"/>
      <w:marLeft w:val="0"/>
      <w:marRight w:val="0"/>
      <w:marTop w:val="0"/>
      <w:marBottom w:val="0"/>
      <w:divBdr>
        <w:top w:val="none" w:sz="0" w:space="0" w:color="auto"/>
        <w:left w:val="none" w:sz="0" w:space="0" w:color="auto"/>
        <w:bottom w:val="none" w:sz="0" w:space="0" w:color="auto"/>
        <w:right w:val="none" w:sz="0" w:space="0" w:color="auto"/>
      </w:divBdr>
    </w:div>
    <w:div w:id="1232883641">
      <w:bodyDiv w:val="1"/>
      <w:marLeft w:val="0"/>
      <w:marRight w:val="0"/>
      <w:marTop w:val="0"/>
      <w:marBottom w:val="0"/>
      <w:divBdr>
        <w:top w:val="none" w:sz="0" w:space="0" w:color="auto"/>
        <w:left w:val="none" w:sz="0" w:space="0" w:color="auto"/>
        <w:bottom w:val="none" w:sz="0" w:space="0" w:color="auto"/>
        <w:right w:val="none" w:sz="0" w:space="0" w:color="auto"/>
      </w:divBdr>
    </w:div>
    <w:div w:id="1277443914">
      <w:bodyDiv w:val="1"/>
      <w:marLeft w:val="0"/>
      <w:marRight w:val="0"/>
      <w:marTop w:val="0"/>
      <w:marBottom w:val="0"/>
      <w:divBdr>
        <w:top w:val="none" w:sz="0" w:space="0" w:color="auto"/>
        <w:left w:val="none" w:sz="0" w:space="0" w:color="auto"/>
        <w:bottom w:val="none" w:sz="0" w:space="0" w:color="auto"/>
        <w:right w:val="none" w:sz="0" w:space="0" w:color="auto"/>
      </w:divBdr>
    </w:div>
    <w:div w:id="1334919146">
      <w:bodyDiv w:val="1"/>
      <w:marLeft w:val="0"/>
      <w:marRight w:val="0"/>
      <w:marTop w:val="0"/>
      <w:marBottom w:val="0"/>
      <w:divBdr>
        <w:top w:val="none" w:sz="0" w:space="0" w:color="auto"/>
        <w:left w:val="none" w:sz="0" w:space="0" w:color="auto"/>
        <w:bottom w:val="none" w:sz="0" w:space="0" w:color="auto"/>
        <w:right w:val="none" w:sz="0" w:space="0" w:color="auto"/>
      </w:divBdr>
    </w:div>
    <w:div w:id="1368290701">
      <w:bodyDiv w:val="1"/>
      <w:marLeft w:val="0"/>
      <w:marRight w:val="0"/>
      <w:marTop w:val="0"/>
      <w:marBottom w:val="0"/>
      <w:divBdr>
        <w:top w:val="none" w:sz="0" w:space="0" w:color="auto"/>
        <w:left w:val="none" w:sz="0" w:space="0" w:color="auto"/>
        <w:bottom w:val="none" w:sz="0" w:space="0" w:color="auto"/>
        <w:right w:val="none" w:sz="0" w:space="0" w:color="auto"/>
      </w:divBdr>
    </w:div>
    <w:div w:id="1711950932">
      <w:bodyDiv w:val="1"/>
      <w:marLeft w:val="0"/>
      <w:marRight w:val="0"/>
      <w:marTop w:val="0"/>
      <w:marBottom w:val="0"/>
      <w:divBdr>
        <w:top w:val="none" w:sz="0" w:space="0" w:color="auto"/>
        <w:left w:val="none" w:sz="0" w:space="0" w:color="auto"/>
        <w:bottom w:val="none" w:sz="0" w:space="0" w:color="auto"/>
        <w:right w:val="none" w:sz="0" w:space="0" w:color="auto"/>
      </w:divBdr>
    </w:div>
    <w:div w:id="1953784307">
      <w:bodyDiv w:val="1"/>
      <w:marLeft w:val="0"/>
      <w:marRight w:val="0"/>
      <w:marTop w:val="0"/>
      <w:marBottom w:val="0"/>
      <w:divBdr>
        <w:top w:val="none" w:sz="0" w:space="0" w:color="auto"/>
        <w:left w:val="none" w:sz="0" w:space="0" w:color="auto"/>
        <w:bottom w:val="none" w:sz="0" w:space="0" w:color="auto"/>
        <w:right w:val="none" w:sz="0" w:space="0" w:color="auto"/>
      </w:divBdr>
    </w:div>
    <w:div w:id="1954819801">
      <w:bodyDiv w:val="1"/>
      <w:marLeft w:val="0"/>
      <w:marRight w:val="0"/>
      <w:marTop w:val="0"/>
      <w:marBottom w:val="0"/>
      <w:divBdr>
        <w:top w:val="none" w:sz="0" w:space="0" w:color="auto"/>
        <w:left w:val="none" w:sz="0" w:space="0" w:color="auto"/>
        <w:bottom w:val="none" w:sz="0" w:space="0" w:color="auto"/>
        <w:right w:val="none" w:sz="0" w:space="0" w:color="auto"/>
      </w:divBdr>
    </w:div>
    <w:div w:id="21371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Louise Scarrott</cp:lastModifiedBy>
  <cp:revision>3</cp:revision>
  <dcterms:created xsi:type="dcterms:W3CDTF">2021-04-28T09:47:00Z</dcterms:created>
  <dcterms:modified xsi:type="dcterms:W3CDTF">2021-04-28T09:48:00Z</dcterms:modified>
</cp:coreProperties>
</file>