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1A" w:rsidRDefault="001A431A" w:rsidP="001A431A">
      <w:pPr>
        <w:pStyle w:val="Heading2"/>
      </w:pPr>
      <w:bookmarkStart w:id="0" w:name="_GoBack"/>
      <w:bookmarkEnd w:id="0"/>
    </w:p>
    <w:p w:rsidR="001A431A" w:rsidRDefault="001A431A" w:rsidP="001A431A"/>
    <w:p w:rsidR="001A431A" w:rsidRDefault="001A431A" w:rsidP="001A431A"/>
    <w:p w:rsidR="001A431A" w:rsidRDefault="001A431A" w:rsidP="001A431A"/>
    <w:p w:rsidR="00F757BD" w:rsidRDefault="001A431A" w:rsidP="00F757BD">
      <w:pPr>
        <w:pStyle w:val="Heading2"/>
        <w:jc w:val="center"/>
        <w:rPr>
          <w:color w:val="8DB3E2" w:themeColor="text2" w:themeTint="66"/>
          <w:sz w:val="72"/>
          <w:szCs w:val="72"/>
        </w:rPr>
      </w:pPr>
      <w:r w:rsidRPr="00F757BD">
        <w:rPr>
          <w:noProof/>
          <w:sz w:val="72"/>
          <w:szCs w:val="72"/>
          <w:lang w:eastAsia="en-GB"/>
        </w:rPr>
        <w:drawing>
          <wp:anchor distT="0" distB="0" distL="114300" distR="114300" simplePos="0" relativeHeight="251658240" behindDoc="1" locked="0" layoutInCell="1" allowOverlap="1" wp14:anchorId="0A76A779" wp14:editId="05038EBF">
            <wp:simplePos x="0" y="0"/>
            <wp:positionH relativeFrom="column">
              <wp:posOffset>1530985</wp:posOffset>
            </wp:positionH>
            <wp:positionV relativeFrom="paragraph">
              <wp:posOffset>2482850</wp:posOffset>
            </wp:positionV>
            <wp:extent cx="2171700" cy="1943100"/>
            <wp:effectExtent l="0" t="0" r="0" b="0"/>
            <wp:wrapTight wrapText="bothSides">
              <wp:wrapPolygon edited="0">
                <wp:start x="0" y="0"/>
                <wp:lineTo x="0" y="21388"/>
                <wp:lineTo x="21411" y="21388"/>
                <wp:lineTo x="21411"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8">
                      <a:extLst>
                        <a:ext uri="{28A0092B-C50C-407E-A947-70E740481C1C}">
                          <a14:useLocalDpi xmlns:a14="http://schemas.microsoft.com/office/drawing/2010/main" val="0"/>
                        </a:ext>
                      </a:extLst>
                    </a:blip>
                    <a:srcRect b="4636"/>
                    <a:stretch>
                      <a:fillRect/>
                    </a:stretch>
                  </pic:blipFill>
                  <pic:spPr bwMode="auto">
                    <a:xfrm>
                      <a:off x="0" y="0"/>
                      <a:ext cx="21717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7BD">
        <w:rPr>
          <w:color w:val="8DB3E2" w:themeColor="text2" w:themeTint="66"/>
          <w:sz w:val="72"/>
          <w:szCs w:val="72"/>
        </w:rPr>
        <w:t>Year 7</w:t>
      </w:r>
    </w:p>
    <w:p w:rsidR="00F757BD" w:rsidRDefault="00620B3E" w:rsidP="00F757BD">
      <w:pPr>
        <w:pStyle w:val="Heading2"/>
        <w:jc w:val="center"/>
        <w:rPr>
          <w:color w:val="8DB3E2" w:themeColor="text2" w:themeTint="66"/>
          <w:sz w:val="72"/>
          <w:szCs w:val="72"/>
        </w:rPr>
      </w:pPr>
      <w:r w:rsidRPr="00F757BD">
        <w:rPr>
          <w:color w:val="8DB3E2" w:themeColor="text2" w:themeTint="66"/>
          <w:sz w:val="72"/>
          <w:szCs w:val="72"/>
        </w:rPr>
        <w:t>Catch up Premium</w:t>
      </w:r>
    </w:p>
    <w:p w:rsidR="001A431A" w:rsidRDefault="00D93D1B" w:rsidP="00F757BD">
      <w:pPr>
        <w:pStyle w:val="Heading2"/>
        <w:jc w:val="center"/>
        <w:rPr>
          <w:color w:val="8DB3E2" w:themeColor="text2" w:themeTint="66"/>
          <w:sz w:val="96"/>
          <w:szCs w:val="96"/>
        </w:rPr>
      </w:pPr>
      <w:r>
        <w:rPr>
          <w:color w:val="8DB3E2" w:themeColor="text2" w:themeTint="66"/>
          <w:sz w:val="72"/>
          <w:szCs w:val="72"/>
        </w:rPr>
        <w:t>2018-19</w:t>
      </w:r>
    </w:p>
    <w:p w:rsidR="0016614C" w:rsidRPr="0016614C" w:rsidRDefault="0016614C" w:rsidP="0016614C">
      <w:pPr>
        <w:tabs>
          <w:tab w:val="left" w:pos="2481"/>
        </w:tabs>
      </w:pPr>
      <w:r>
        <w:t xml:space="preserve">   </w:t>
      </w:r>
    </w:p>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BE4D14" w:rsidRPr="00FC4A58" w:rsidRDefault="00620B3E" w:rsidP="00FC4A58">
      <w:pPr>
        <w:pStyle w:val="ListParagraph"/>
        <w:numPr>
          <w:ilvl w:val="0"/>
          <w:numId w:val="4"/>
        </w:numPr>
        <w:rPr>
          <w:sz w:val="36"/>
          <w:szCs w:val="36"/>
        </w:rPr>
      </w:pPr>
      <w:r>
        <w:rPr>
          <w:sz w:val="36"/>
          <w:szCs w:val="36"/>
        </w:rPr>
        <w:t>Catch up Premium</w:t>
      </w:r>
      <w:r w:rsidR="00BE4D14" w:rsidRPr="00FC4A58">
        <w:rPr>
          <w:sz w:val="36"/>
          <w:szCs w:val="36"/>
        </w:rPr>
        <w:t xml:space="preserve"> Summary</w:t>
      </w:r>
    </w:p>
    <w:p w:rsidR="00BE4D14" w:rsidRPr="008423C1" w:rsidRDefault="00BE4D14" w:rsidP="00BE4D14">
      <w:pPr>
        <w:rPr>
          <w:sz w:val="28"/>
          <w:szCs w:val="28"/>
        </w:rPr>
      </w:pPr>
      <w:r w:rsidRPr="008423C1">
        <w:rPr>
          <w:sz w:val="28"/>
          <w:szCs w:val="28"/>
        </w:rPr>
        <w:t>Financ</w:t>
      </w:r>
      <w:r w:rsidR="00620B3E" w:rsidRPr="008423C1">
        <w:rPr>
          <w:sz w:val="28"/>
          <w:szCs w:val="28"/>
        </w:rPr>
        <w:t>ial Year Amount of Catch up</w:t>
      </w:r>
      <w:r w:rsidRPr="008423C1">
        <w:rPr>
          <w:sz w:val="28"/>
          <w:szCs w:val="28"/>
        </w:rPr>
        <w:t xml:space="preserve"> Funding</w:t>
      </w:r>
    </w:p>
    <w:tbl>
      <w:tblPr>
        <w:tblStyle w:val="TableGrid"/>
        <w:tblW w:w="9180" w:type="dxa"/>
        <w:tblLook w:val="04A0" w:firstRow="1" w:lastRow="0" w:firstColumn="1" w:lastColumn="0" w:noHBand="0" w:noVBand="1"/>
      </w:tblPr>
      <w:tblGrid>
        <w:gridCol w:w="1912"/>
        <w:gridCol w:w="1891"/>
        <w:gridCol w:w="818"/>
        <w:gridCol w:w="1073"/>
        <w:gridCol w:w="1891"/>
        <w:gridCol w:w="1595"/>
      </w:tblGrid>
      <w:tr w:rsidR="00051082" w:rsidTr="00422A91">
        <w:tc>
          <w:tcPr>
            <w:tcW w:w="4621" w:type="dxa"/>
            <w:gridSpan w:val="3"/>
            <w:shd w:val="clear" w:color="auto" w:fill="C6D9F1" w:themeFill="text2" w:themeFillTint="33"/>
          </w:tcPr>
          <w:p w:rsidR="00051082" w:rsidRDefault="00051082" w:rsidP="00BE4D14">
            <w:r>
              <w:t>2014/15</w:t>
            </w:r>
          </w:p>
        </w:tc>
        <w:tc>
          <w:tcPr>
            <w:tcW w:w="4559" w:type="dxa"/>
            <w:gridSpan w:val="3"/>
            <w:shd w:val="clear" w:color="auto" w:fill="C6D9F1" w:themeFill="text2" w:themeFillTint="33"/>
          </w:tcPr>
          <w:p w:rsidR="00051082" w:rsidRDefault="00051082" w:rsidP="00FB6BB7">
            <w:r>
              <w:t>£8500</w:t>
            </w:r>
          </w:p>
        </w:tc>
      </w:tr>
      <w:tr w:rsidR="00051082" w:rsidTr="00422A91">
        <w:tc>
          <w:tcPr>
            <w:tcW w:w="4621" w:type="dxa"/>
            <w:gridSpan w:val="3"/>
            <w:shd w:val="clear" w:color="auto" w:fill="C6D9F1" w:themeFill="text2" w:themeFillTint="33"/>
          </w:tcPr>
          <w:p w:rsidR="00051082" w:rsidRDefault="00051082" w:rsidP="00BE4D14">
            <w:r>
              <w:t>2015/16</w:t>
            </w:r>
          </w:p>
        </w:tc>
        <w:tc>
          <w:tcPr>
            <w:tcW w:w="4559" w:type="dxa"/>
            <w:gridSpan w:val="3"/>
            <w:shd w:val="clear" w:color="auto" w:fill="C6D9F1" w:themeFill="text2" w:themeFillTint="33"/>
          </w:tcPr>
          <w:p w:rsidR="00051082" w:rsidRDefault="00051082" w:rsidP="00FB6BB7">
            <w:r>
              <w:t>£11500</w:t>
            </w:r>
          </w:p>
        </w:tc>
      </w:tr>
      <w:tr w:rsidR="00051082" w:rsidTr="00422A91">
        <w:tc>
          <w:tcPr>
            <w:tcW w:w="4621" w:type="dxa"/>
            <w:gridSpan w:val="3"/>
            <w:shd w:val="clear" w:color="auto" w:fill="C6D9F1" w:themeFill="text2" w:themeFillTint="33"/>
          </w:tcPr>
          <w:p w:rsidR="00051082" w:rsidRDefault="00051082" w:rsidP="00BE4D14">
            <w:r>
              <w:t>2016/17</w:t>
            </w:r>
          </w:p>
        </w:tc>
        <w:tc>
          <w:tcPr>
            <w:tcW w:w="4559" w:type="dxa"/>
            <w:gridSpan w:val="3"/>
            <w:shd w:val="clear" w:color="auto" w:fill="C6D9F1" w:themeFill="text2" w:themeFillTint="33"/>
          </w:tcPr>
          <w:p w:rsidR="00051082" w:rsidRDefault="00051082" w:rsidP="00FB6BB7">
            <w:r>
              <w:t>£10000</w:t>
            </w:r>
          </w:p>
        </w:tc>
      </w:tr>
      <w:tr w:rsidR="00D93D1B" w:rsidTr="00422A91">
        <w:tc>
          <w:tcPr>
            <w:tcW w:w="4621" w:type="dxa"/>
            <w:gridSpan w:val="3"/>
            <w:shd w:val="clear" w:color="auto" w:fill="C6D9F1" w:themeFill="text2" w:themeFillTint="33"/>
          </w:tcPr>
          <w:p w:rsidR="00D93D1B" w:rsidRDefault="00D93D1B" w:rsidP="00BE4D14">
            <w:r>
              <w:t>2017/18</w:t>
            </w:r>
          </w:p>
        </w:tc>
        <w:tc>
          <w:tcPr>
            <w:tcW w:w="4559" w:type="dxa"/>
            <w:gridSpan w:val="3"/>
            <w:shd w:val="clear" w:color="auto" w:fill="C6D9F1" w:themeFill="text2" w:themeFillTint="33"/>
          </w:tcPr>
          <w:p w:rsidR="00D93D1B" w:rsidRDefault="00D93D1B" w:rsidP="00FB6BB7">
            <w:r>
              <w:t>£9500</w:t>
            </w:r>
          </w:p>
        </w:tc>
      </w:tr>
      <w:tr w:rsidR="00CC4411" w:rsidTr="00422A91">
        <w:tc>
          <w:tcPr>
            <w:tcW w:w="4621" w:type="dxa"/>
            <w:gridSpan w:val="3"/>
            <w:shd w:val="clear" w:color="auto" w:fill="C6D9F1" w:themeFill="text2" w:themeFillTint="33"/>
          </w:tcPr>
          <w:p w:rsidR="00CC4411" w:rsidRDefault="00CC4411" w:rsidP="00CC4411">
            <w:r>
              <w:t>2018/19</w:t>
            </w:r>
          </w:p>
        </w:tc>
        <w:tc>
          <w:tcPr>
            <w:tcW w:w="4559" w:type="dxa"/>
            <w:gridSpan w:val="3"/>
            <w:shd w:val="clear" w:color="auto" w:fill="C6D9F1" w:themeFill="text2" w:themeFillTint="33"/>
          </w:tcPr>
          <w:p w:rsidR="00CC4411" w:rsidRPr="00D93D1B" w:rsidRDefault="00CC4411" w:rsidP="00CC4411">
            <w:pPr>
              <w:rPr>
                <w:color w:val="FF0000"/>
              </w:rPr>
            </w:pPr>
            <w:r w:rsidRPr="00CC4411">
              <w:t>£15,000</w:t>
            </w:r>
          </w:p>
        </w:tc>
      </w:tr>
      <w:tr w:rsidR="00CC4411" w:rsidTr="00422A91">
        <w:tc>
          <w:tcPr>
            <w:tcW w:w="4621" w:type="dxa"/>
            <w:gridSpan w:val="3"/>
            <w:shd w:val="clear" w:color="auto" w:fill="C6D9F1" w:themeFill="text2" w:themeFillTint="33"/>
          </w:tcPr>
          <w:p w:rsidR="00CC4411" w:rsidRDefault="00CC4411" w:rsidP="00CC4411">
            <w:r>
              <w:t>2019/20</w:t>
            </w:r>
          </w:p>
        </w:tc>
        <w:tc>
          <w:tcPr>
            <w:tcW w:w="4559" w:type="dxa"/>
            <w:gridSpan w:val="3"/>
            <w:shd w:val="clear" w:color="auto" w:fill="C6D9F1" w:themeFill="text2" w:themeFillTint="33"/>
          </w:tcPr>
          <w:p w:rsidR="00CC4411" w:rsidRPr="00D93D1B" w:rsidRDefault="00CC4411" w:rsidP="00CC4411">
            <w:pPr>
              <w:rPr>
                <w:color w:val="FF0000"/>
              </w:rPr>
            </w:pPr>
            <w:r>
              <w:t>£10,500</w:t>
            </w:r>
          </w:p>
        </w:tc>
      </w:tr>
      <w:tr w:rsidR="00CC4411" w:rsidTr="00422A91">
        <w:tc>
          <w:tcPr>
            <w:tcW w:w="19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C4411" w:rsidRDefault="00CC4411" w:rsidP="00CC4411">
            <w:r>
              <w:t>Catch up premium</w:t>
            </w:r>
          </w:p>
        </w:tc>
        <w:tc>
          <w:tcPr>
            <w:tcW w:w="1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C4411" w:rsidRDefault="00CC4411" w:rsidP="00CC4411">
            <w:pPr>
              <w:jc w:val="center"/>
              <w:rPr>
                <w:sz w:val="24"/>
                <w:szCs w:val="24"/>
              </w:rPr>
            </w:pPr>
            <w:r>
              <w:rPr>
                <w:sz w:val="24"/>
                <w:szCs w:val="24"/>
              </w:rPr>
              <w:t>2016/17</w:t>
            </w:r>
          </w:p>
        </w:tc>
        <w:tc>
          <w:tcPr>
            <w:tcW w:w="189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C4411" w:rsidRDefault="00CC4411" w:rsidP="00CC4411">
            <w:pPr>
              <w:jc w:val="center"/>
              <w:rPr>
                <w:sz w:val="24"/>
                <w:szCs w:val="24"/>
              </w:rPr>
            </w:pPr>
            <w:r>
              <w:rPr>
                <w:sz w:val="24"/>
                <w:szCs w:val="24"/>
              </w:rPr>
              <w:t>2017/18</w:t>
            </w:r>
          </w:p>
        </w:tc>
        <w:tc>
          <w:tcPr>
            <w:tcW w:w="1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C4411" w:rsidRDefault="00CC4411" w:rsidP="00CC4411">
            <w:pPr>
              <w:jc w:val="center"/>
              <w:rPr>
                <w:sz w:val="24"/>
                <w:szCs w:val="24"/>
              </w:rPr>
            </w:pPr>
            <w:r>
              <w:rPr>
                <w:sz w:val="24"/>
                <w:szCs w:val="24"/>
              </w:rPr>
              <w:t>2018/19</w:t>
            </w:r>
          </w:p>
        </w:tc>
        <w:tc>
          <w:tcPr>
            <w:tcW w:w="15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C4411" w:rsidRDefault="00CC4411" w:rsidP="00CC4411">
            <w:pPr>
              <w:jc w:val="center"/>
              <w:rPr>
                <w:sz w:val="24"/>
                <w:szCs w:val="24"/>
              </w:rPr>
            </w:pPr>
            <w:r>
              <w:rPr>
                <w:sz w:val="24"/>
                <w:szCs w:val="24"/>
              </w:rPr>
              <w:t>2019/20</w:t>
            </w:r>
          </w:p>
        </w:tc>
      </w:tr>
      <w:tr w:rsidR="00CC4411" w:rsidTr="00422A91">
        <w:tc>
          <w:tcPr>
            <w:tcW w:w="19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4411" w:rsidRDefault="00CC4411" w:rsidP="00CC4411">
            <w:r>
              <w:t>Number of pupils eligible for catch up premium</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4411" w:rsidRDefault="00CC4411" w:rsidP="00CC4411">
            <w:pPr>
              <w:jc w:val="center"/>
            </w:pPr>
            <w:r>
              <w:t>20</w:t>
            </w:r>
          </w:p>
        </w:tc>
        <w:tc>
          <w:tcPr>
            <w:tcW w:w="18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4411" w:rsidRDefault="00CC4411" w:rsidP="00CC4411">
            <w:pPr>
              <w:jc w:val="center"/>
            </w:pPr>
            <w:r>
              <w:t>17</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4411" w:rsidRDefault="00CC4411" w:rsidP="00CC4411">
            <w:pPr>
              <w:jc w:val="center"/>
            </w:pPr>
            <w:r>
              <w:t>21</w:t>
            </w:r>
          </w:p>
        </w:tc>
        <w:tc>
          <w:tcPr>
            <w:tcW w:w="15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4411" w:rsidRDefault="00B00611" w:rsidP="00CC4411">
            <w:pPr>
              <w:jc w:val="center"/>
            </w:pPr>
            <w:r>
              <w:t>12</w:t>
            </w:r>
          </w:p>
        </w:tc>
      </w:tr>
      <w:tr w:rsidR="00CC4411" w:rsidTr="00422A91">
        <w:tc>
          <w:tcPr>
            <w:tcW w:w="19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4411" w:rsidRDefault="00CC4411" w:rsidP="00CC4411">
            <w:r>
              <w:t>Number of looked after pupils</w:t>
            </w:r>
          </w:p>
          <w:p w:rsidR="00CC4411" w:rsidRDefault="00CC4411" w:rsidP="00CC4411">
            <w:r>
              <w:t>eligible catch up premium</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4411" w:rsidRDefault="00CC4411" w:rsidP="00CC4411">
            <w:pPr>
              <w:jc w:val="center"/>
            </w:pPr>
            <w:r>
              <w:t>1</w:t>
            </w:r>
          </w:p>
        </w:tc>
        <w:tc>
          <w:tcPr>
            <w:tcW w:w="18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4411" w:rsidRDefault="00CC4411" w:rsidP="00CC4411">
            <w:pPr>
              <w:jc w:val="center"/>
            </w:pPr>
            <w:r>
              <w:t>0</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4411" w:rsidRDefault="00CC4411" w:rsidP="00CC4411">
            <w:pPr>
              <w:jc w:val="center"/>
            </w:pPr>
            <w:r>
              <w:t>0</w:t>
            </w:r>
          </w:p>
        </w:tc>
        <w:tc>
          <w:tcPr>
            <w:tcW w:w="15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4411" w:rsidRDefault="00B00611" w:rsidP="00CC4411">
            <w:pPr>
              <w:jc w:val="center"/>
            </w:pPr>
            <w:r>
              <w:t>0</w:t>
            </w:r>
          </w:p>
        </w:tc>
      </w:tr>
    </w:tbl>
    <w:p w:rsidR="00BE4D14" w:rsidRDefault="00BE4D14" w:rsidP="00BE4D14"/>
    <w:tbl>
      <w:tblPr>
        <w:tblStyle w:val="TableGrid"/>
        <w:tblW w:w="0" w:type="auto"/>
        <w:tblLook w:val="04A0" w:firstRow="1" w:lastRow="0" w:firstColumn="1" w:lastColumn="0" w:noHBand="0" w:noVBand="1"/>
      </w:tblPr>
      <w:tblGrid>
        <w:gridCol w:w="9016"/>
      </w:tblGrid>
      <w:tr w:rsidR="00BE4D14" w:rsidTr="00D0361C">
        <w:tc>
          <w:tcPr>
            <w:tcW w:w="9242" w:type="dxa"/>
            <w:shd w:val="clear" w:color="auto" w:fill="C6D9F1" w:themeFill="text2" w:themeFillTint="33"/>
          </w:tcPr>
          <w:p w:rsidR="00BE4D14" w:rsidRPr="00453B29" w:rsidRDefault="00CC4411" w:rsidP="00453B29">
            <w:pPr>
              <w:jc w:val="center"/>
              <w:rPr>
                <w:sz w:val="40"/>
                <w:szCs w:val="40"/>
              </w:rPr>
            </w:pPr>
            <w:r>
              <w:rPr>
                <w:sz w:val="40"/>
                <w:szCs w:val="40"/>
              </w:rPr>
              <w:t>Nature of support 2019/20</w:t>
            </w:r>
          </w:p>
        </w:tc>
      </w:tr>
      <w:tr w:rsidR="00BE4D14" w:rsidTr="00EC0861">
        <w:tc>
          <w:tcPr>
            <w:tcW w:w="9242" w:type="dxa"/>
            <w:shd w:val="clear" w:color="auto" w:fill="DBE5F1" w:themeFill="accent1" w:themeFillTint="33"/>
          </w:tcPr>
          <w:p w:rsidR="007F2879" w:rsidRDefault="007F2879" w:rsidP="002F51A4">
            <w:pPr>
              <w:jc w:val="both"/>
              <w:rPr>
                <w:sz w:val="24"/>
                <w:szCs w:val="24"/>
              </w:rPr>
            </w:pPr>
          </w:p>
          <w:p w:rsidR="0073101E" w:rsidRPr="007F2879" w:rsidRDefault="00620B3E" w:rsidP="0073101E">
            <w:pPr>
              <w:jc w:val="both"/>
              <w:rPr>
                <w:sz w:val="24"/>
                <w:szCs w:val="24"/>
              </w:rPr>
            </w:pPr>
            <w:r w:rsidRPr="00620B3E">
              <w:rPr>
                <w:rFonts w:cstheme="minorHAnsi"/>
                <w:sz w:val="24"/>
                <w:szCs w:val="24"/>
                <w:lang w:val="en-US"/>
              </w:rPr>
              <w:t>Year 7 Catch Up is additional Funding given to secondary schools to help all pupils who did not achieve the expected outcome at the of Key Stage 2 te</w:t>
            </w:r>
            <w:r w:rsidR="00CC4411">
              <w:rPr>
                <w:rFonts w:cstheme="minorHAnsi"/>
                <w:sz w:val="24"/>
                <w:szCs w:val="24"/>
                <w:lang w:val="en-US"/>
              </w:rPr>
              <w:t>sts. In 2019/20</w:t>
            </w:r>
            <w:r w:rsidRPr="00620B3E">
              <w:rPr>
                <w:rFonts w:cstheme="minorHAnsi"/>
                <w:sz w:val="24"/>
                <w:szCs w:val="24"/>
                <w:lang w:val="en-US"/>
              </w:rPr>
              <w:t xml:space="preserve"> Belvue School</w:t>
            </w:r>
            <w:r w:rsidR="0073101E">
              <w:rPr>
                <w:rFonts w:cstheme="minorHAnsi"/>
                <w:sz w:val="24"/>
                <w:szCs w:val="24"/>
                <w:lang w:val="en-US"/>
              </w:rPr>
              <w:t xml:space="preserve"> received £</w:t>
            </w:r>
            <w:r w:rsidR="00CC4411">
              <w:rPr>
                <w:rFonts w:cstheme="minorHAnsi"/>
                <w:sz w:val="24"/>
                <w:szCs w:val="24"/>
                <w:lang w:val="en-US"/>
              </w:rPr>
              <w:t>10</w:t>
            </w:r>
            <w:r w:rsidR="00422A91" w:rsidRPr="00422A91">
              <w:rPr>
                <w:rFonts w:cstheme="minorHAnsi"/>
                <w:sz w:val="24"/>
                <w:szCs w:val="24"/>
                <w:lang w:val="en-US"/>
              </w:rPr>
              <w:t>,000.</w:t>
            </w:r>
            <w:r w:rsidRPr="00422A91">
              <w:rPr>
                <w:rFonts w:cstheme="minorHAnsi"/>
                <w:sz w:val="24"/>
                <w:szCs w:val="24"/>
                <w:lang w:val="en-US"/>
              </w:rPr>
              <w:t xml:space="preserve"> </w:t>
            </w:r>
            <w:r w:rsidR="0073101E">
              <w:rPr>
                <w:rFonts w:cstheme="minorHAnsi"/>
                <w:sz w:val="24"/>
                <w:szCs w:val="24"/>
                <w:lang w:val="en-US"/>
              </w:rPr>
              <w:t>The focus for Catch up funding this year was to provide direct support for developing speaking and listening with individual and small groups through singing. The school had witnessed over the last two years the impact of singing on pupil’s communication and confidence in speaking in small groups and publicly (assemblies, school performance and school council).  It was decided to appoint a specialist singing teacher to work with individuals and groups of pupils on learning and performing a range of contemporary and traditional songs in order to support pupil’s confidence and use of communication skills.</w:t>
            </w:r>
          </w:p>
          <w:p w:rsidR="00620B3E" w:rsidRPr="007F2879" w:rsidRDefault="00620B3E" w:rsidP="001C48A6">
            <w:pPr>
              <w:tabs>
                <w:tab w:val="center" w:pos="4680"/>
                <w:tab w:val="right" w:pos="9360"/>
              </w:tabs>
              <w:jc w:val="center"/>
              <w:rPr>
                <w:sz w:val="24"/>
                <w:szCs w:val="24"/>
              </w:rPr>
            </w:pPr>
          </w:p>
        </w:tc>
      </w:tr>
    </w:tbl>
    <w:p w:rsidR="00BE4D14" w:rsidRDefault="00BE4D14" w:rsidP="00BE4D14"/>
    <w:p w:rsidR="00453B29" w:rsidRDefault="00453B29" w:rsidP="00BE4D14"/>
    <w:p w:rsidR="00453B29" w:rsidRPr="002316A4" w:rsidRDefault="002316A4" w:rsidP="002316A4">
      <w:pPr>
        <w:pStyle w:val="ListParagraph"/>
        <w:numPr>
          <w:ilvl w:val="0"/>
          <w:numId w:val="4"/>
        </w:numPr>
        <w:rPr>
          <w:sz w:val="40"/>
          <w:szCs w:val="40"/>
        </w:rPr>
      </w:pPr>
      <w:r>
        <w:rPr>
          <w:sz w:val="40"/>
          <w:szCs w:val="40"/>
        </w:rPr>
        <w:t>Pupil Progress data</w:t>
      </w:r>
      <w:r w:rsidR="00B611EF" w:rsidRPr="00B611EF">
        <w:rPr>
          <w:sz w:val="40"/>
          <w:szCs w:val="40"/>
        </w:rPr>
        <w:t xml:space="preserve"> </w:t>
      </w:r>
      <w:r w:rsidR="00B611EF">
        <w:rPr>
          <w:sz w:val="40"/>
          <w:szCs w:val="40"/>
        </w:rPr>
        <w:t>- Measuring the impact of catch up s</w:t>
      </w:r>
      <w:r w:rsidR="00B611EF" w:rsidRPr="00453B29">
        <w:rPr>
          <w:sz w:val="40"/>
          <w:szCs w:val="40"/>
        </w:rPr>
        <w:t>pending</w:t>
      </w:r>
    </w:p>
    <w:p w:rsidR="007F6D7B" w:rsidRDefault="00453B29" w:rsidP="002F51A4">
      <w:pPr>
        <w:jc w:val="both"/>
        <w:rPr>
          <w:sz w:val="24"/>
          <w:szCs w:val="24"/>
        </w:rPr>
      </w:pPr>
      <w:r w:rsidRPr="002F51A4">
        <w:rPr>
          <w:sz w:val="24"/>
          <w:szCs w:val="24"/>
        </w:rPr>
        <w:t xml:space="preserve">Pupil progress is analysed </w:t>
      </w:r>
      <w:r w:rsidR="007031F4" w:rsidRPr="002F51A4">
        <w:rPr>
          <w:sz w:val="24"/>
          <w:szCs w:val="24"/>
        </w:rPr>
        <w:t>formatively using a range of assessment tools including classroom monitor, end of unit tests, teacher observation</w:t>
      </w:r>
      <w:r w:rsidR="00B611EF">
        <w:rPr>
          <w:sz w:val="24"/>
          <w:szCs w:val="24"/>
        </w:rPr>
        <w:t>, annual review targets, ROA</w:t>
      </w:r>
      <w:r w:rsidR="007031F4" w:rsidRPr="002F51A4">
        <w:rPr>
          <w:sz w:val="24"/>
          <w:szCs w:val="24"/>
        </w:rPr>
        <w:t xml:space="preserve"> and learning journeys. Pupil progress is </w:t>
      </w:r>
      <w:r w:rsidR="002316A4">
        <w:rPr>
          <w:sz w:val="24"/>
          <w:szCs w:val="24"/>
        </w:rPr>
        <w:t xml:space="preserve"> recorded at least termly using the Key Performance Indicators on Classroom Monitor and this information is used to</w:t>
      </w:r>
      <w:r w:rsidRPr="002F51A4">
        <w:rPr>
          <w:sz w:val="24"/>
          <w:szCs w:val="24"/>
        </w:rPr>
        <w:t xml:space="preserve"> track progress across the curriculum</w:t>
      </w:r>
      <w:r w:rsidR="009A71CC">
        <w:rPr>
          <w:sz w:val="24"/>
          <w:szCs w:val="24"/>
        </w:rPr>
        <w:t xml:space="preserve"> and to allow Curriculum L</w:t>
      </w:r>
      <w:r w:rsidRPr="002F51A4">
        <w:rPr>
          <w:sz w:val="24"/>
          <w:szCs w:val="24"/>
        </w:rPr>
        <w:t xml:space="preserve">eaders </w:t>
      </w:r>
      <w:r w:rsidR="007031F4" w:rsidRPr="002F51A4">
        <w:rPr>
          <w:sz w:val="24"/>
          <w:szCs w:val="24"/>
        </w:rPr>
        <w:t>to analyse summative</w:t>
      </w:r>
      <w:r w:rsidRPr="002F51A4">
        <w:rPr>
          <w:sz w:val="24"/>
          <w:szCs w:val="24"/>
        </w:rPr>
        <w:t xml:space="preserve"> data for their area of responsibility. </w:t>
      </w:r>
      <w:r w:rsidR="009A71CC" w:rsidRPr="009A71CC">
        <w:rPr>
          <w:sz w:val="24"/>
          <w:szCs w:val="24"/>
        </w:rPr>
        <w:t>This system</w:t>
      </w:r>
      <w:r w:rsidR="009A71CC">
        <w:rPr>
          <w:sz w:val="24"/>
          <w:szCs w:val="24"/>
        </w:rPr>
        <w:t xml:space="preserve"> also</w:t>
      </w:r>
      <w:r w:rsidR="009A71CC" w:rsidRPr="009A71CC">
        <w:rPr>
          <w:sz w:val="24"/>
          <w:szCs w:val="24"/>
        </w:rPr>
        <w:t xml:space="preserve"> allows Curriculum Leaders to analyse summative data for their area of responsibility to ensure that all pupils are making expected level of progress (as judged against their starting point). The data also provides information and feedback to Curriculum Leaders on how effective their curriculum intent and implementation is</w:t>
      </w:r>
      <w:r w:rsidR="009A71CC">
        <w:rPr>
          <w:sz w:val="24"/>
          <w:szCs w:val="24"/>
        </w:rPr>
        <w:t>,</w:t>
      </w:r>
      <w:r w:rsidR="009A71CC" w:rsidRPr="009A71CC">
        <w:rPr>
          <w:sz w:val="24"/>
          <w:szCs w:val="24"/>
        </w:rPr>
        <w:t xml:space="preserve"> and therefore provides an evidence base for school improvement. </w:t>
      </w:r>
      <w:r w:rsidRPr="002F51A4">
        <w:rPr>
          <w:sz w:val="24"/>
          <w:szCs w:val="24"/>
        </w:rPr>
        <w:t xml:space="preserve"> The data is broken down into outcomes for a number of different groups to allow for comparative analyse.  Through</w:t>
      </w:r>
      <w:r w:rsidR="007031F4" w:rsidRPr="002F51A4">
        <w:rPr>
          <w:sz w:val="24"/>
          <w:szCs w:val="24"/>
        </w:rPr>
        <w:t>out</w:t>
      </w:r>
      <w:r w:rsidRPr="002F51A4">
        <w:rPr>
          <w:sz w:val="24"/>
          <w:szCs w:val="24"/>
        </w:rPr>
        <w:t xml:space="preserve"> the year there are regular progress</w:t>
      </w:r>
      <w:r w:rsidR="007031F4" w:rsidRPr="002F51A4">
        <w:rPr>
          <w:sz w:val="24"/>
          <w:szCs w:val="24"/>
        </w:rPr>
        <w:t>/moderation</w:t>
      </w:r>
      <w:r w:rsidRPr="002F51A4">
        <w:rPr>
          <w:sz w:val="24"/>
          <w:szCs w:val="24"/>
        </w:rPr>
        <w:t xml:space="preserve"> meetings </w:t>
      </w:r>
      <w:r w:rsidR="007031F4" w:rsidRPr="002F51A4">
        <w:rPr>
          <w:sz w:val="24"/>
          <w:szCs w:val="24"/>
        </w:rPr>
        <w:t xml:space="preserve">to focus on individual </w:t>
      </w:r>
      <w:r w:rsidR="002F51A4">
        <w:rPr>
          <w:sz w:val="24"/>
          <w:szCs w:val="24"/>
        </w:rPr>
        <w:t>pupil</w:t>
      </w:r>
      <w:r w:rsidR="002F51A4" w:rsidRPr="002F51A4">
        <w:rPr>
          <w:sz w:val="24"/>
          <w:szCs w:val="24"/>
        </w:rPr>
        <w:t>s</w:t>
      </w:r>
      <w:r w:rsidR="002F51A4">
        <w:rPr>
          <w:sz w:val="24"/>
          <w:szCs w:val="24"/>
        </w:rPr>
        <w:t>’</w:t>
      </w:r>
      <w:r w:rsidR="00F72460" w:rsidRPr="002F51A4">
        <w:rPr>
          <w:sz w:val="24"/>
          <w:szCs w:val="24"/>
        </w:rPr>
        <w:t xml:space="preserve"> progress against the Key Performance Indicators for our newly revised curriculum</w:t>
      </w:r>
      <w:r w:rsidR="003D4355" w:rsidRPr="002F51A4">
        <w:rPr>
          <w:sz w:val="24"/>
          <w:szCs w:val="24"/>
        </w:rPr>
        <w:t>.</w:t>
      </w:r>
      <w:r w:rsidR="00F72460" w:rsidRPr="002F51A4">
        <w:rPr>
          <w:sz w:val="24"/>
          <w:szCs w:val="24"/>
        </w:rPr>
        <w:t xml:space="preserve"> These KPI’s</w:t>
      </w:r>
      <w:r w:rsidR="007031F4" w:rsidRPr="002F51A4">
        <w:rPr>
          <w:sz w:val="24"/>
          <w:szCs w:val="24"/>
        </w:rPr>
        <w:t xml:space="preserve"> have been identified to allow the school to assess </w:t>
      </w:r>
      <w:r w:rsidR="002316A4" w:rsidRPr="002F51A4">
        <w:rPr>
          <w:sz w:val="24"/>
          <w:szCs w:val="24"/>
        </w:rPr>
        <w:t>pupil</w:t>
      </w:r>
      <w:r w:rsidR="002316A4">
        <w:rPr>
          <w:sz w:val="24"/>
          <w:szCs w:val="24"/>
        </w:rPr>
        <w:t>s</w:t>
      </w:r>
      <w:r w:rsidR="00F72460" w:rsidRPr="002F51A4">
        <w:rPr>
          <w:sz w:val="24"/>
          <w:szCs w:val="24"/>
        </w:rPr>
        <w:t xml:space="preserve"> ‘</w:t>
      </w:r>
      <w:r w:rsidR="007031F4" w:rsidRPr="002F51A4">
        <w:rPr>
          <w:sz w:val="24"/>
          <w:szCs w:val="24"/>
        </w:rPr>
        <w:t>without levels</w:t>
      </w:r>
      <w:r w:rsidR="00F72460" w:rsidRPr="002F51A4">
        <w:rPr>
          <w:sz w:val="24"/>
          <w:szCs w:val="24"/>
        </w:rPr>
        <w:t>’</w:t>
      </w:r>
      <w:r w:rsidR="007031F4" w:rsidRPr="002F51A4">
        <w:rPr>
          <w:sz w:val="24"/>
          <w:szCs w:val="24"/>
        </w:rPr>
        <w:t xml:space="preserve">. </w:t>
      </w:r>
      <w:r w:rsidR="00F72460" w:rsidRPr="002F51A4">
        <w:rPr>
          <w:sz w:val="24"/>
          <w:szCs w:val="24"/>
        </w:rPr>
        <w:t>Moderation of pupil</w:t>
      </w:r>
      <w:r w:rsidR="002F51A4">
        <w:rPr>
          <w:sz w:val="24"/>
          <w:szCs w:val="24"/>
        </w:rPr>
        <w:t>’s</w:t>
      </w:r>
      <w:r w:rsidR="00F72460" w:rsidRPr="002F51A4">
        <w:rPr>
          <w:sz w:val="24"/>
          <w:szCs w:val="24"/>
        </w:rPr>
        <w:t xml:space="preserve"> work and analysis of classroom monitor </w:t>
      </w:r>
      <w:r w:rsidRPr="002F51A4">
        <w:rPr>
          <w:sz w:val="24"/>
          <w:szCs w:val="24"/>
        </w:rPr>
        <w:t xml:space="preserve">enable targeted support to be provided where </w:t>
      </w:r>
      <w:r w:rsidR="00F72460" w:rsidRPr="002F51A4">
        <w:rPr>
          <w:sz w:val="24"/>
          <w:szCs w:val="24"/>
        </w:rPr>
        <w:t>necessary to improve attainment and outcome fo</w:t>
      </w:r>
      <w:r w:rsidR="002316A4">
        <w:rPr>
          <w:sz w:val="24"/>
          <w:szCs w:val="24"/>
        </w:rPr>
        <w:t>r individual and groups of pupils</w:t>
      </w:r>
      <w:r w:rsidR="00F72460" w:rsidRPr="002F51A4">
        <w:rPr>
          <w:sz w:val="24"/>
          <w:szCs w:val="24"/>
        </w:rPr>
        <w:t xml:space="preserve">. </w:t>
      </w:r>
      <w:r w:rsidRPr="002F51A4">
        <w:rPr>
          <w:sz w:val="24"/>
          <w:szCs w:val="24"/>
        </w:rPr>
        <w:t xml:space="preserve"> Each term pupil</w:t>
      </w:r>
      <w:r w:rsidR="002316A4">
        <w:rPr>
          <w:sz w:val="24"/>
          <w:szCs w:val="24"/>
        </w:rPr>
        <w:t>s</w:t>
      </w:r>
      <w:r w:rsidRPr="002F51A4">
        <w:rPr>
          <w:sz w:val="24"/>
          <w:szCs w:val="24"/>
        </w:rPr>
        <w:t xml:space="preserve"> with less than expected progress</w:t>
      </w:r>
      <w:r w:rsidR="00597AE5" w:rsidRPr="002F51A4">
        <w:rPr>
          <w:sz w:val="24"/>
          <w:szCs w:val="24"/>
        </w:rPr>
        <w:t xml:space="preserve"> in the core subjects</w:t>
      </w:r>
      <w:r w:rsidR="005E017F" w:rsidRPr="002F51A4">
        <w:rPr>
          <w:sz w:val="24"/>
          <w:szCs w:val="24"/>
        </w:rPr>
        <w:t xml:space="preserve"> are </w:t>
      </w:r>
      <w:r w:rsidR="005E017F" w:rsidRPr="002F51A4">
        <w:rPr>
          <w:sz w:val="24"/>
          <w:szCs w:val="24"/>
        </w:rPr>
        <w:lastRenderedPageBreak/>
        <w:t>identified</w:t>
      </w:r>
      <w:r w:rsidR="007F6D7B" w:rsidRPr="002F51A4">
        <w:rPr>
          <w:sz w:val="24"/>
          <w:szCs w:val="24"/>
        </w:rPr>
        <w:t xml:space="preserve"> by the subj</w:t>
      </w:r>
      <w:r w:rsidR="005E017F" w:rsidRPr="002F51A4">
        <w:rPr>
          <w:sz w:val="24"/>
          <w:szCs w:val="24"/>
        </w:rPr>
        <w:t>ect leader</w:t>
      </w:r>
      <w:r w:rsidR="007F6D7B" w:rsidRPr="002F51A4">
        <w:rPr>
          <w:sz w:val="24"/>
          <w:szCs w:val="24"/>
        </w:rPr>
        <w:t xml:space="preserve"> and distributed to </w:t>
      </w:r>
      <w:r w:rsidRPr="002F51A4">
        <w:rPr>
          <w:sz w:val="24"/>
          <w:szCs w:val="24"/>
        </w:rPr>
        <w:t>Class Teachers</w:t>
      </w:r>
      <w:r w:rsidR="00597AE5" w:rsidRPr="002F51A4">
        <w:rPr>
          <w:sz w:val="24"/>
          <w:szCs w:val="24"/>
        </w:rPr>
        <w:t xml:space="preserve"> and discussed at the termly progress meeting with SLT</w:t>
      </w:r>
      <w:r w:rsidRPr="002F51A4">
        <w:rPr>
          <w:sz w:val="24"/>
          <w:szCs w:val="24"/>
        </w:rPr>
        <w:t xml:space="preserve">. </w:t>
      </w:r>
    </w:p>
    <w:p w:rsidR="007F6D7B" w:rsidRDefault="007F6D7B" w:rsidP="0040598B">
      <w:pPr>
        <w:rPr>
          <w:sz w:val="40"/>
          <w:szCs w:val="40"/>
        </w:rPr>
      </w:pPr>
      <w:r>
        <w:rPr>
          <w:sz w:val="40"/>
          <w:szCs w:val="40"/>
        </w:rPr>
        <w:t xml:space="preserve">3. </w:t>
      </w:r>
      <w:r w:rsidR="00B76162">
        <w:rPr>
          <w:sz w:val="40"/>
          <w:szCs w:val="40"/>
        </w:rPr>
        <w:t>Other outcomes identified</w:t>
      </w:r>
    </w:p>
    <w:p w:rsidR="0040598B" w:rsidRPr="008908AB" w:rsidRDefault="0040598B" w:rsidP="0040598B">
      <w:pPr>
        <w:numPr>
          <w:ilvl w:val="0"/>
          <w:numId w:val="5"/>
        </w:numPr>
        <w:spacing w:before="100" w:beforeAutospacing="1" w:after="100" w:afterAutospacing="1" w:line="240" w:lineRule="auto"/>
        <w:jc w:val="both"/>
        <w:rPr>
          <w:rFonts w:eastAsia="Times New Roman" w:cstheme="minorHAnsi"/>
          <w:sz w:val="24"/>
          <w:szCs w:val="24"/>
          <w:lang w:val="en-US"/>
        </w:rPr>
      </w:pPr>
      <w:r w:rsidRPr="008908AB">
        <w:rPr>
          <w:rFonts w:eastAsia="Times New Roman" w:cstheme="minorHAnsi"/>
          <w:sz w:val="24"/>
          <w:szCs w:val="24"/>
          <w:lang w:val="en-US"/>
        </w:rPr>
        <w:t>Increased confidence and progress</w:t>
      </w:r>
      <w:r w:rsidR="00B76162" w:rsidRPr="008908AB">
        <w:rPr>
          <w:rFonts w:eastAsia="Times New Roman" w:cstheme="minorHAnsi"/>
          <w:sz w:val="24"/>
          <w:szCs w:val="24"/>
          <w:lang w:val="en-US"/>
        </w:rPr>
        <w:t xml:space="preserve"> across other subjects with</w:t>
      </w:r>
      <w:r w:rsidR="009A70AF" w:rsidRPr="008908AB">
        <w:rPr>
          <w:rFonts w:eastAsia="Times New Roman" w:cstheme="minorHAnsi"/>
          <w:sz w:val="24"/>
          <w:szCs w:val="24"/>
          <w:lang w:val="en-US"/>
        </w:rPr>
        <w:t xml:space="preserve"> pupils making an average of </w:t>
      </w:r>
      <w:r w:rsidR="00B76162" w:rsidRPr="008908AB">
        <w:rPr>
          <w:rFonts w:eastAsia="Times New Roman" w:cstheme="minorHAnsi"/>
          <w:sz w:val="24"/>
          <w:szCs w:val="24"/>
          <w:lang w:val="en-US"/>
        </w:rPr>
        <w:t xml:space="preserve"> VA across the core subjects</w:t>
      </w:r>
      <w:r w:rsidRPr="008908AB">
        <w:rPr>
          <w:rFonts w:eastAsia="Times New Roman" w:cstheme="minorHAnsi"/>
          <w:sz w:val="24"/>
          <w:szCs w:val="24"/>
          <w:lang w:val="en-US"/>
        </w:rPr>
        <w:t>.</w:t>
      </w:r>
    </w:p>
    <w:p w:rsidR="00503057" w:rsidRPr="008908AB" w:rsidRDefault="00503057" w:rsidP="0040598B">
      <w:pPr>
        <w:numPr>
          <w:ilvl w:val="0"/>
          <w:numId w:val="5"/>
        </w:numPr>
        <w:spacing w:before="100" w:beforeAutospacing="1" w:after="100" w:afterAutospacing="1" w:line="240" w:lineRule="auto"/>
        <w:jc w:val="both"/>
        <w:rPr>
          <w:rFonts w:eastAsia="Times New Roman" w:cstheme="minorHAnsi"/>
          <w:sz w:val="24"/>
          <w:szCs w:val="24"/>
          <w:lang w:val="en-US"/>
        </w:rPr>
      </w:pPr>
      <w:r w:rsidRPr="008908AB">
        <w:rPr>
          <w:rFonts w:eastAsia="Times New Roman" w:cstheme="minorHAnsi"/>
          <w:sz w:val="24"/>
          <w:szCs w:val="24"/>
          <w:lang w:val="en-US"/>
        </w:rPr>
        <w:t xml:space="preserve">Learning intentions - </w:t>
      </w:r>
    </w:p>
    <w:p w:rsidR="00503057" w:rsidRDefault="00503057" w:rsidP="00BD1DD8">
      <w:pPr>
        <w:numPr>
          <w:ilvl w:val="0"/>
          <w:numId w:val="5"/>
        </w:numPr>
        <w:spacing w:before="100" w:beforeAutospacing="1" w:after="100" w:afterAutospacing="1" w:line="240" w:lineRule="auto"/>
        <w:jc w:val="both"/>
        <w:rPr>
          <w:rFonts w:eastAsia="Times New Roman" w:cstheme="minorHAnsi"/>
          <w:color w:val="000000"/>
          <w:sz w:val="24"/>
          <w:szCs w:val="24"/>
          <w:lang w:val="en-US"/>
        </w:rPr>
      </w:pPr>
      <w:r w:rsidRPr="00503057">
        <w:rPr>
          <w:rFonts w:eastAsia="Times New Roman" w:cstheme="minorHAnsi"/>
          <w:color w:val="000000"/>
          <w:sz w:val="24"/>
          <w:szCs w:val="24"/>
          <w:lang w:val="en-US"/>
        </w:rPr>
        <w:t>Improved behavior</w:t>
      </w:r>
      <w:r>
        <w:rPr>
          <w:rFonts w:eastAsia="Times New Roman" w:cstheme="minorHAnsi"/>
          <w:color w:val="000000"/>
          <w:sz w:val="24"/>
          <w:szCs w:val="24"/>
          <w:lang w:val="en-US"/>
        </w:rPr>
        <w:t xml:space="preserve"> – merit data</w:t>
      </w:r>
    </w:p>
    <w:p w:rsidR="008423C1" w:rsidRPr="00503057" w:rsidRDefault="00503057" w:rsidP="00BD1DD8">
      <w:pPr>
        <w:numPr>
          <w:ilvl w:val="0"/>
          <w:numId w:val="5"/>
        </w:numPr>
        <w:spacing w:before="100" w:beforeAutospacing="1" w:after="100" w:afterAutospacing="1" w:line="240" w:lineRule="auto"/>
        <w:jc w:val="both"/>
        <w:rPr>
          <w:rFonts w:eastAsia="Times New Roman" w:cstheme="minorHAnsi"/>
          <w:color w:val="000000"/>
          <w:sz w:val="24"/>
          <w:szCs w:val="24"/>
          <w:lang w:val="en-US"/>
        </w:rPr>
      </w:pPr>
      <w:r>
        <w:rPr>
          <w:rFonts w:eastAsia="Times New Roman" w:cstheme="minorHAnsi"/>
          <w:color w:val="000000"/>
          <w:sz w:val="24"/>
          <w:szCs w:val="24"/>
          <w:lang w:val="en-US"/>
        </w:rPr>
        <w:t>r</w:t>
      </w:r>
      <w:r w:rsidR="008423C1" w:rsidRPr="00503057">
        <w:rPr>
          <w:rFonts w:eastAsia="Times New Roman" w:cstheme="minorHAnsi"/>
          <w:color w:val="000000"/>
          <w:sz w:val="24"/>
          <w:szCs w:val="24"/>
          <w:lang w:val="en-US"/>
        </w:rPr>
        <w:t xml:space="preserve">eduction in detentions </w:t>
      </w:r>
      <w:r w:rsidRPr="00503057">
        <w:rPr>
          <w:rFonts w:eastAsia="Times New Roman" w:cstheme="minorHAnsi"/>
          <w:color w:val="000000"/>
          <w:sz w:val="24"/>
          <w:szCs w:val="24"/>
          <w:lang w:val="en-US"/>
        </w:rPr>
        <w:t>– detention data</w:t>
      </w:r>
    </w:p>
    <w:p w:rsidR="0040598B" w:rsidRPr="008423C1" w:rsidRDefault="00B76162" w:rsidP="008423C1">
      <w:pPr>
        <w:numPr>
          <w:ilvl w:val="0"/>
          <w:numId w:val="5"/>
        </w:numPr>
        <w:spacing w:before="100" w:beforeAutospacing="1" w:after="100" w:afterAutospacing="1" w:line="240" w:lineRule="auto"/>
        <w:jc w:val="both"/>
        <w:rPr>
          <w:rFonts w:eastAsia="Times New Roman" w:cstheme="minorHAnsi"/>
          <w:color w:val="000000"/>
          <w:sz w:val="24"/>
          <w:szCs w:val="24"/>
          <w:lang w:val="en-US"/>
        </w:rPr>
      </w:pPr>
      <w:r w:rsidRPr="008423C1">
        <w:rPr>
          <w:rFonts w:eastAsia="Times New Roman" w:cstheme="minorHAnsi"/>
          <w:color w:val="000000"/>
          <w:sz w:val="24"/>
          <w:szCs w:val="24"/>
          <w:lang w:val="en-US"/>
        </w:rPr>
        <w:t>Increased self-esteem</w:t>
      </w:r>
      <w:r w:rsidR="008423C1">
        <w:rPr>
          <w:rFonts w:eastAsia="Times New Roman" w:cstheme="minorHAnsi"/>
          <w:color w:val="000000"/>
          <w:sz w:val="24"/>
          <w:szCs w:val="24"/>
          <w:lang w:val="en-US"/>
        </w:rPr>
        <w:t xml:space="preserve"> – measured through for example, </w:t>
      </w:r>
      <w:r w:rsidR="008423C1" w:rsidRPr="008423C1">
        <w:rPr>
          <w:rFonts w:eastAsia="Times New Roman" w:cstheme="minorHAnsi"/>
          <w:color w:val="000000"/>
          <w:sz w:val="24"/>
          <w:szCs w:val="24"/>
          <w:lang w:val="en-US"/>
        </w:rPr>
        <w:t>PTOS (Psychological Therapies Outcome Scale).</w:t>
      </w:r>
    </w:p>
    <w:p w:rsidR="0040598B" w:rsidRPr="008A4489" w:rsidRDefault="00B76162" w:rsidP="008A4489">
      <w:pPr>
        <w:numPr>
          <w:ilvl w:val="0"/>
          <w:numId w:val="5"/>
        </w:numPr>
        <w:spacing w:before="100" w:beforeAutospacing="1" w:after="100" w:afterAutospacing="1" w:line="240" w:lineRule="auto"/>
        <w:rPr>
          <w:rFonts w:eastAsia="Times New Roman" w:cstheme="minorHAnsi"/>
          <w:color w:val="000000"/>
          <w:sz w:val="24"/>
          <w:szCs w:val="24"/>
          <w:lang w:val="en-US"/>
        </w:rPr>
      </w:pPr>
      <w:r w:rsidRPr="008423C1">
        <w:rPr>
          <w:rFonts w:eastAsia="Times New Roman" w:cstheme="minorHAnsi"/>
          <w:color w:val="000000"/>
          <w:sz w:val="24"/>
          <w:szCs w:val="24"/>
          <w:lang w:val="en-US"/>
        </w:rPr>
        <w:t>Decreased levels of anxiety</w:t>
      </w:r>
      <w:r w:rsidR="008423C1">
        <w:rPr>
          <w:rFonts w:eastAsia="Times New Roman" w:cstheme="minorHAnsi"/>
          <w:color w:val="000000"/>
          <w:sz w:val="24"/>
          <w:szCs w:val="24"/>
          <w:lang w:val="en-US"/>
        </w:rPr>
        <w:t>- as measured above</w:t>
      </w:r>
    </w:p>
    <w:p w:rsidR="0040598B" w:rsidRPr="008423C1" w:rsidRDefault="0040598B" w:rsidP="0040598B">
      <w:pPr>
        <w:numPr>
          <w:ilvl w:val="0"/>
          <w:numId w:val="5"/>
        </w:numPr>
        <w:spacing w:before="100" w:beforeAutospacing="1" w:after="100" w:afterAutospacing="1" w:line="240" w:lineRule="auto"/>
        <w:rPr>
          <w:rFonts w:eastAsia="Times New Roman" w:cstheme="minorHAnsi"/>
          <w:color w:val="000000"/>
          <w:sz w:val="24"/>
          <w:szCs w:val="24"/>
        </w:rPr>
      </w:pPr>
      <w:r w:rsidRPr="008423C1">
        <w:rPr>
          <w:rFonts w:eastAsia="Times New Roman" w:cstheme="minorHAnsi"/>
          <w:color w:val="000000"/>
          <w:sz w:val="24"/>
          <w:szCs w:val="24"/>
        </w:rPr>
        <w:t>Improved confidence with Reading.</w:t>
      </w:r>
    </w:p>
    <w:p w:rsidR="00B76162" w:rsidRDefault="00B76162" w:rsidP="0040598B">
      <w:pPr>
        <w:numPr>
          <w:ilvl w:val="0"/>
          <w:numId w:val="5"/>
        </w:numPr>
        <w:spacing w:before="100" w:beforeAutospacing="1" w:after="100" w:afterAutospacing="1" w:line="240" w:lineRule="auto"/>
        <w:rPr>
          <w:rFonts w:eastAsia="Times New Roman" w:cstheme="minorHAnsi"/>
          <w:color w:val="000000"/>
          <w:sz w:val="24"/>
          <w:szCs w:val="24"/>
        </w:rPr>
      </w:pPr>
      <w:r w:rsidRPr="008423C1">
        <w:rPr>
          <w:rFonts w:eastAsia="Times New Roman" w:cstheme="minorHAnsi"/>
          <w:color w:val="000000"/>
          <w:sz w:val="24"/>
          <w:szCs w:val="24"/>
        </w:rPr>
        <w:t>Pupil engagement and enjoyment of the</w:t>
      </w:r>
      <w:r w:rsidR="002316A4">
        <w:rPr>
          <w:rFonts w:eastAsia="Times New Roman" w:cstheme="minorHAnsi"/>
          <w:color w:val="000000"/>
          <w:sz w:val="24"/>
          <w:szCs w:val="24"/>
        </w:rPr>
        <w:t xml:space="preserve"> singing</w:t>
      </w:r>
      <w:r w:rsidRPr="008423C1">
        <w:rPr>
          <w:rFonts w:eastAsia="Times New Roman" w:cstheme="minorHAnsi"/>
          <w:color w:val="000000"/>
          <w:sz w:val="24"/>
          <w:szCs w:val="24"/>
        </w:rPr>
        <w:t xml:space="preserve"> programme</w:t>
      </w:r>
    </w:p>
    <w:p w:rsidR="008A4489" w:rsidRPr="008423C1" w:rsidRDefault="008A4489" w:rsidP="0040598B">
      <w:pPr>
        <w:numPr>
          <w:ilvl w:val="0"/>
          <w:numId w:val="5"/>
        </w:num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Pupils increased confidence in participating in performances  and assemblies </w:t>
      </w:r>
    </w:p>
    <w:p w:rsidR="00B00611" w:rsidRPr="00B00611" w:rsidRDefault="00B00611" w:rsidP="00B00611">
      <w:pPr>
        <w:pStyle w:val="ListParagraph"/>
        <w:numPr>
          <w:ilvl w:val="0"/>
          <w:numId w:val="4"/>
        </w:numPr>
        <w:rPr>
          <w:sz w:val="24"/>
          <w:szCs w:val="24"/>
        </w:rPr>
      </w:pPr>
      <w:r w:rsidRPr="00B00611">
        <w:rPr>
          <w:sz w:val="40"/>
          <w:szCs w:val="40"/>
        </w:rPr>
        <w:t>Looked after Children – 2019/</w:t>
      </w:r>
      <w:r>
        <w:rPr>
          <w:sz w:val="40"/>
          <w:szCs w:val="40"/>
        </w:rPr>
        <w:t>20</w:t>
      </w:r>
    </w:p>
    <w:p w:rsidR="00243447" w:rsidRPr="00B00611" w:rsidRDefault="00B00611" w:rsidP="00B00611">
      <w:pPr>
        <w:pStyle w:val="ListParagraph"/>
        <w:ind w:left="360"/>
        <w:rPr>
          <w:sz w:val="24"/>
          <w:szCs w:val="24"/>
        </w:rPr>
      </w:pPr>
      <w:r>
        <w:rPr>
          <w:sz w:val="24"/>
          <w:szCs w:val="24"/>
        </w:rPr>
        <w:t>There</w:t>
      </w:r>
      <w:r w:rsidR="00B76162" w:rsidRPr="00B00611">
        <w:rPr>
          <w:sz w:val="24"/>
          <w:szCs w:val="24"/>
        </w:rPr>
        <w:t xml:space="preserve"> were no Lo</w:t>
      </w:r>
      <w:r w:rsidR="008E69CC" w:rsidRPr="00B00611">
        <w:rPr>
          <w:sz w:val="24"/>
          <w:szCs w:val="24"/>
        </w:rPr>
        <w:t>oked After Children</w:t>
      </w:r>
      <w:r>
        <w:rPr>
          <w:sz w:val="24"/>
          <w:szCs w:val="24"/>
        </w:rPr>
        <w:t xml:space="preserve"> in the 2019/</w:t>
      </w:r>
      <w:r w:rsidR="00B76162" w:rsidRPr="00B00611">
        <w:rPr>
          <w:sz w:val="24"/>
          <w:szCs w:val="24"/>
        </w:rPr>
        <w:t xml:space="preserve"> co</w:t>
      </w:r>
      <w:r>
        <w:rPr>
          <w:sz w:val="24"/>
          <w:szCs w:val="24"/>
        </w:rPr>
        <w:t>20</w:t>
      </w:r>
      <w:r w:rsidR="00B76162" w:rsidRPr="00B00611">
        <w:rPr>
          <w:sz w:val="24"/>
          <w:szCs w:val="24"/>
        </w:rPr>
        <w:t>hort</w:t>
      </w:r>
      <w:r w:rsidR="00243447" w:rsidRPr="00B00611">
        <w:rPr>
          <w:sz w:val="24"/>
          <w:szCs w:val="24"/>
        </w:rPr>
        <w:t>.</w:t>
      </w:r>
      <w:r w:rsidR="00243447" w:rsidRPr="00B00611">
        <w:rPr>
          <w:color w:val="FF0000"/>
          <w:sz w:val="24"/>
          <w:szCs w:val="24"/>
        </w:rPr>
        <w:t xml:space="preserve"> </w:t>
      </w:r>
    </w:p>
    <w:p w:rsidR="00064600" w:rsidRDefault="00064600" w:rsidP="003108A3">
      <w:pPr>
        <w:sectPr w:rsidR="00064600">
          <w:footerReference w:type="default" r:id="rId9"/>
          <w:pgSz w:w="11906" w:h="16838"/>
          <w:pgMar w:top="1440" w:right="1440" w:bottom="1440" w:left="1440" w:header="720" w:footer="720" w:gutter="0"/>
          <w:cols w:space="720"/>
          <w:docGrid w:linePitch="360"/>
        </w:sectPr>
      </w:pPr>
    </w:p>
    <w:p w:rsidR="008E69CC" w:rsidRDefault="008E69CC" w:rsidP="008E69CC"/>
    <w:tbl>
      <w:tblPr>
        <w:tblStyle w:val="TableGrid"/>
        <w:tblW w:w="13945" w:type="dxa"/>
        <w:tblLook w:val="04A0" w:firstRow="1" w:lastRow="0" w:firstColumn="1" w:lastColumn="0" w:noHBand="0" w:noVBand="1"/>
      </w:tblPr>
      <w:tblGrid>
        <w:gridCol w:w="4505"/>
        <w:gridCol w:w="1430"/>
        <w:gridCol w:w="8010"/>
      </w:tblGrid>
      <w:tr w:rsidR="00F50447" w:rsidRPr="00D37C36" w:rsidTr="00CC20D2">
        <w:tc>
          <w:tcPr>
            <w:tcW w:w="139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B00611" w:rsidP="00B00611">
            <w:pPr>
              <w:shd w:val="clear" w:color="auto" w:fill="B8CCE4" w:themeFill="accent1" w:themeFillTint="66"/>
              <w:rPr>
                <w:sz w:val="40"/>
                <w:szCs w:val="40"/>
              </w:rPr>
            </w:pPr>
            <w:r>
              <w:rPr>
                <w:sz w:val="40"/>
                <w:szCs w:val="40"/>
              </w:rPr>
              <w:t>5. Evaluation from 2019/20</w:t>
            </w:r>
          </w:p>
        </w:tc>
      </w:tr>
      <w:tr w:rsidR="00B81E01" w:rsidRPr="00D37C36" w:rsidTr="00B81E01">
        <w:trPr>
          <w:trHeight w:val="1133"/>
        </w:trPr>
        <w:tc>
          <w:tcPr>
            <w:tcW w:w="4505" w:type="dxa"/>
            <w:vMerge w:val="restart"/>
            <w:tcBorders>
              <w:top w:val="single" w:sz="4" w:space="0" w:color="auto"/>
              <w:left w:val="single" w:sz="4" w:space="0" w:color="auto"/>
              <w:right w:val="single" w:sz="4" w:space="0" w:color="auto"/>
            </w:tcBorders>
            <w:shd w:val="clear" w:color="auto" w:fill="B8CCE4" w:themeFill="accent1" w:themeFillTint="66"/>
            <w:hideMark/>
          </w:tcPr>
          <w:p w:rsidR="00B81E01" w:rsidRPr="00B81E01" w:rsidRDefault="00B81E01" w:rsidP="00B81E01">
            <w:pPr>
              <w:shd w:val="clear" w:color="auto" w:fill="DBE5F1" w:themeFill="accent1" w:themeFillTint="33"/>
              <w:rPr>
                <w:sz w:val="24"/>
                <w:szCs w:val="24"/>
              </w:rPr>
            </w:pPr>
            <w:r>
              <w:t xml:space="preserve">FOCUS  1 - </w:t>
            </w:r>
            <w:r>
              <w:rPr>
                <w:sz w:val="24"/>
                <w:szCs w:val="24"/>
              </w:rPr>
              <w:t>The appointment of an additional specialist music assistant to increase targeted support for communication and development of speaking and listening skills.  The aim of the project is to continue with:</w:t>
            </w: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81E01" w:rsidRPr="00D37C36" w:rsidRDefault="00B81E01" w:rsidP="00D37C36">
            <w:r>
              <w:t>Budget</w:t>
            </w:r>
          </w:p>
        </w:tc>
        <w:tc>
          <w:tcPr>
            <w:tcW w:w="8010" w:type="dxa"/>
            <w:vMerge w:val="restart"/>
            <w:tcBorders>
              <w:top w:val="single" w:sz="4" w:space="0" w:color="auto"/>
              <w:left w:val="single" w:sz="4" w:space="0" w:color="auto"/>
              <w:right w:val="single" w:sz="4" w:space="0" w:color="auto"/>
            </w:tcBorders>
            <w:shd w:val="clear" w:color="auto" w:fill="B8CCE4" w:themeFill="accent1" w:themeFillTint="66"/>
            <w:hideMark/>
          </w:tcPr>
          <w:p w:rsidR="00B81E01" w:rsidRDefault="00B81E01" w:rsidP="00D37C36">
            <w:pPr>
              <w:spacing w:after="200" w:line="276" w:lineRule="auto"/>
            </w:pPr>
            <w:r w:rsidRPr="00D37C36">
              <w:t>OUTCOME</w:t>
            </w:r>
            <w:r w:rsidR="00B00611">
              <w:t>:</w:t>
            </w:r>
          </w:p>
          <w:p w:rsidR="00B00611" w:rsidRPr="00D37C36" w:rsidRDefault="00B00611" w:rsidP="002168F6">
            <w:pPr>
              <w:spacing w:after="200" w:line="276" w:lineRule="auto"/>
            </w:pPr>
            <w:r>
              <w:t xml:space="preserve">Pupils made good progress towards their targets.  By good we mean that they met or exceed their Maths and English target for the year; </w:t>
            </w:r>
            <w:r w:rsidR="002168F6">
              <w:t>increase their</w:t>
            </w:r>
            <w:r>
              <w:t xml:space="preserve"> independence</w:t>
            </w:r>
            <w:r w:rsidR="002168F6">
              <w:t xml:space="preserve"> in all aspects of their work in school</w:t>
            </w:r>
            <w:r>
              <w:t xml:space="preserve"> and met their annual </w:t>
            </w:r>
            <w:r w:rsidR="002168F6">
              <w:t xml:space="preserve">IEP </w:t>
            </w:r>
            <w:r>
              <w:t xml:space="preserve">targets.  Their attendance is </w:t>
            </w:r>
            <w:r w:rsidR="002168F6">
              <w:t xml:space="preserve">also </w:t>
            </w:r>
            <w:r>
              <w:t>over 95% which demonstrates that they enjoy and value coming to school.</w:t>
            </w:r>
            <w:r w:rsidR="002168F6">
              <w:t xml:space="preserve"> Good progress is also demonstrated by good and improving behaviour.  </w:t>
            </w:r>
          </w:p>
        </w:tc>
      </w:tr>
      <w:tr w:rsidR="00B81E01" w:rsidRPr="00D37C36" w:rsidTr="00B81E01">
        <w:trPr>
          <w:trHeight w:val="1132"/>
        </w:trPr>
        <w:tc>
          <w:tcPr>
            <w:tcW w:w="4505" w:type="dxa"/>
            <w:vMerge/>
            <w:tcBorders>
              <w:left w:val="single" w:sz="4" w:space="0" w:color="auto"/>
              <w:bottom w:val="single" w:sz="4" w:space="0" w:color="auto"/>
              <w:right w:val="single" w:sz="4" w:space="0" w:color="auto"/>
            </w:tcBorders>
            <w:shd w:val="clear" w:color="auto" w:fill="FFFFFF" w:themeFill="background1"/>
          </w:tcPr>
          <w:p w:rsidR="00B81E01" w:rsidRPr="00D37C36" w:rsidRDefault="00B81E01" w:rsidP="00F50447">
            <w:pPr>
              <w:shd w:val="clear" w:color="auto" w:fill="DBE5F1" w:themeFill="accent1" w:themeFillTint="33"/>
            </w:pP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81E01" w:rsidRDefault="00B00611" w:rsidP="00D37C36">
            <w:r>
              <w:t>10,500</w:t>
            </w:r>
          </w:p>
        </w:tc>
        <w:tc>
          <w:tcPr>
            <w:tcW w:w="8010" w:type="dxa"/>
            <w:vMerge/>
            <w:tcBorders>
              <w:left w:val="single" w:sz="4" w:space="0" w:color="auto"/>
              <w:bottom w:val="single" w:sz="4" w:space="0" w:color="auto"/>
              <w:right w:val="single" w:sz="4" w:space="0" w:color="auto"/>
            </w:tcBorders>
            <w:shd w:val="clear" w:color="auto" w:fill="FFFFFF" w:themeFill="background1"/>
          </w:tcPr>
          <w:p w:rsidR="00B81E01" w:rsidRPr="00D37C36" w:rsidRDefault="00B81E01" w:rsidP="00D37C36"/>
        </w:tc>
      </w:tr>
      <w:tr w:rsidR="00F50447" w:rsidRPr="00D37C36" w:rsidTr="00507D6A">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447" w:rsidRPr="00D37C36" w:rsidRDefault="00F50447" w:rsidP="00D37C36">
            <w:pPr>
              <w:spacing w:after="200" w:line="276" w:lineRule="auto"/>
            </w:pPr>
            <w:r w:rsidRPr="00D37C36">
              <w:t>Having fun communicating through singing solo and in groups</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D37C36">
            <w:pPr>
              <w:spacing w:after="200" w:line="276" w:lineRule="auto"/>
            </w:pPr>
            <w:r w:rsidRPr="00D37C36">
              <w:t>to support the  development of communication skills</w:t>
            </w:r>
          </w:p>
        </w:tc>
      </w:tr>
      <w:tr w:rsidR="00F50447" w:rsidRPr="00D37C36" w:rsidTr="00ED667E">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447" w:rsidRPr="00D37C36" w:rsidRDefault="00F50447" w:rsidP="00D37C36">
            <w:pPr>
              <w:spacing w:after="200" w:line="276" w:lineRule="auto"/>
            </w:pPr>
            <w:r w:rsidRPr="00D37C36">
              <w:t>Learning new songs through memory</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D37C36">
            <w:pPr>
              <w:spacing w:after="200" w:line="276" w:lineRule="auto"/>
            </w:pPr>
            <w:r w:rsidRPr="00D37C36">
              <w:t>to support the working memory and increase vocabulary</w:t>
            </w:r>
          </w:p>
        </w:tc>
      </w:tr>
      <w:tr w:rsidR="00F50447" w:rsidRPr="00D37C36" w:rsidTr="00BD7543">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1E01" w:rsidRDefault="00F50447" w:rsidP="00D37C36">
            <w:pPr>
              <w:spacing w:after="200" w:line="276" w:lineRule="auto"/>
            </w:pPr>
            <w:r w:rsidRPr="00D37C36">
              <w:t>Learning new</w:t>
            </w:r>
            <w:r w:rsidR="00B81E01">
              <w:t xml:space="preserve"> songs through reading the words</w:t>
            </w:r>
          </w:p>
          <w:p w:rsidR="00B81E01" w:rsidRPr="00D37C36" w:rsidRDefault="00B81E01" w:rsidP="00D37C36">
            <w:pPr>
              <w:spacing w:after="200" w:line="276" w:lineRule="auto"/>
            </w:pP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D37C36">
            <w:pPr>
              <w:spacing w:after="200" w:line="276" w:lineRule="auto"/>
            </w:pPr>
            <w:r w:rsidRPr="00D37C36">
              <w:t xml:space="preserve"> increase sight vocabulary</w:t>
            </w:r>
          </w:p>
          <w:p w:rsidR="00F50447" w:rsidRPr="00D37C36" w:rsidRDefault="00F50447" w:rsidP="00D37C36">
            <w:pPr>
              <w:spacing w:after="200" w:line="276" w:lineRule="auto"/>
            </w:pPr>
          </w:p>
        </w:tc>
      </w:tr>
      <w:tr w:rsidR="00F50447" w:rsidRPr="00D37C36" w:rsidTr="004F44B8">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447" w:rsidRPr="00D37C36" w:rsidRDefault="00F50447" w:rsidP="00D37C36">
            <w:pPr>
              <w:spacing w:after="200" w:line="276" w:lineRule="auto"/>
            </w:pPr>
            <w:r w:rsidRPr="00D37C36">
              <w:t>Performing songs to a variety of audiences</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D37C36">
            <w:pPr>
              <w:spacing w:after="200" w:line="276" w:lineRule="auto"/>
            </w:pPr>
            <w:r w:rsidRPr="00D37C36">
              <w:t>increase confidence and well-being</w:t>
            </w:r>
          </w:p>
        </w:tc>
      </w:tr>
      <w:tr w:rsidR="00F50447" w:rsidRPr="00D37C36" w:rsidTr="00DB37E8">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447" w:rsidRPr="00D37C36" w:rsidRDefault="00F50447" w:rsidP="00D37C36">
            <w:pPr>
              <w:spacing w:after="200" w:line="276" w:lineRule="auto"/>
            </w:pPr>
            <w:r w:rsidRPr="00D37C36">
              <w:t>Empowering young people through using their voice to perform</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D37C36">
            <w:pPr>
              <w:spacing w:after="200" w:line="276" w:lineRule="auto"/>
            </w:pPr>
            <w:r w:rsidRPr="00D37C36">
              <w:t>Increase confidence and sense of well-being</w:t>
            </w:r>
          </w:p>
        </w:tc>
      </w:tr>
      <w:tr w:rsidR="00F50447" w:rsidRPr="00D37C36" w:rsidTr="0091726F">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F50447">
            <w:pPr>
              <w:spacing w:after="200" w:line="276" w:lineRule="auto"/>
            </w:pPr>
            <w:r w:rsidRPr="00D37C36">
              <w:t>Extending pupils awareness of the range of sung music by listening and discussing likes and dislikes</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D37C36">
            <w:r>
              <w:t xml:space="preserve">To promote social interaction, confidence and  independent skills </w:t>
            </w:r>
          </w:p>
        </w:tc>
      </w:tr>
    </w:tbl>
    <w:p w:rsidR="008E69CC" w:rsidRDefault="008E69CC" w:rsidP="008E69CC"/>
    <w:p w:rsidR="00515AB2" w:rsidRDefault="00515AB2" w:rsidP="003108A3"/>
    <w:sectPr w:rsidR="00515AB2" w:rsidSect="00D710D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5A" w:rsidRDefault="000D355A" w:rsidP="00D710D5">
      <w:pPr>
        <w:spacing w:after="0" w:line="240" w:lineRule="auto"/>
      </w:pPr>
      <w:r>
        <w:separator/>
      </w:r>
    </w:p>
  </w:endnote>
  <w:endnote w:type="continuationSeparator" w:id="0">
    <w:p w:rsidR="000D355A" w:rsidRDefault="000D355A" w:rsidP="00D7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688465"/>
      <w:docPartObj>
        <w:docPartGallery w:val="Page Numbers (Bottom of Page)"/>
        <w:docPartUnique/>
      </w:docPartObj>
    </w:sdtPr>
    <w:sdtEndPr>
      <w:rPr>
        <w:noProof/>
      </w:rPr>
    </w:sdtEndPr>
    <w:sdtContent>
      <w:p w:rsidR="00620B3E" w:rsidRDefault="00620B3E">
        <w:pPr>
          <w:pStyle w:val="Footer"/>
        </w:pPr>
        <w:r>
          <w:fldChar w:fldCharType="begin"/>
        </w:r>
        <w:r>
          <w:instrText xml:space="preserve"> PAGE   \* MERGEFORMAT </w:instrText>
        </w:r>
        <w:r>
          <w:fldChar w:fldCharType="separate"/>
        </w:r>
        <w:r w:rsidR="004F3827">
          <w:rPr>
            <w:noProof/>
          </w:rPr>
          <w:t>1</w:t>
        </w:r>
        <w:r>
          <w:rPr>
            <w:noProof/>
          </w:rPr>
          <w:fldChar w:fldCharType="end"/>
        </w:r>
      </w:p>
    </w:sdtContent>
  </w:sdt>
  <w:p w:rsidR="00620B3E" w:rsidRDefault="0062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5A" w:rsidRDefault="000D355A" w:rsidP="00D710D5">
      <w:pPr>
        <w:spacing w:after="0" w:line="240" w:lineRule="auto"/>
      </w:pPr>
      <w:r>
        <w:separator/>
      </w:r>
    </w:p>
  </w:footnote>
  <w:footnote w:type="continuationSeparator" w:id="0">
    <w:p w:rsidR="000D355A" w:rsidRDefault="000D355A" w:rsidP="00D71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9C2"/>
    <w:multiLevelType w:val="hybridMultilevel"/>
    <w:tmpl w:val="9606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081B"/>
    <w:multiLevelType w:val="hybridMultilevel"/>
    <w:tmpl w:val="C7BC022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1DEB0258"/>
    <w:multiLevelType w:val="hybridMultilevel"/>
    <w:tmpl w:val="F76E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F4FFC"/>
    <w:multiLevelType w:val="hybridMultilevel"/>
    <w:tmpl w:val="BE1EF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75925"/>
    <w:multiLevelType w:val="hybridMultilevel"/>
    <w:tmpl w:val="7DFE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F79EE"/>
    <w:multiLevelType w:val="hybridMultilevel"/>
    <w:tmpl w:val="06A2E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494700"/>
    <w:multiLevelType w:val="hybridMultilevel"/>
    <w:tmpl w:val="083A0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A81233E"/>
    <w:multiLevelType w:val="multilevel"/>
    <w:tmpl w:val="5556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3"/>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14"/>
    <w:rsid w:val="00001427"/>
    <w:rsid w:val="00001E9B"/>
    <w:rsid w:val="0001594A"/>
    <w:rsid w:val="0002261A"/>
    <w:rsid w:val="0002460B"/>
    <w:rsid w:val="000303C6"/>
    <w:rsid w:val="00051082"/>
    <w:rsid w:val="00064600"/>
    <w:rsid w:val="00064F99"/>
    <w:rsid w:val="000756C3"/>
    <w:rsid w:val="00075CF1"/>
    <w:rsid w:val="000D122D"/>
    <w:rsid w:val="000D355A"/>
    <w:rsid w:val="00101288"/>
    <w:rsid w:val="00105F70"/>
    <w:rsid w:val="001068D6"/>
    <w:rsid w:val="00133726"/>
    <w:rsid w:val="001409D0"/>
    <w:rsid w:val="0014758A"/>
    <w:rsid w:val="0016614C"/>
    <w:rsid w:val="00181833"/>
    <w:rsid w:val="001829C9"/>
    <w:rsid w:val="00191403"/>
    <w:rsid w:val="001A431A"/>
    <w:rsid w:val="001B4EDD"/>
    <w:rsid w:val="001C48A6"/>
    <w:rsid w:val="001C6B86"/>
    <w:rsid w:val="001D48C8"/>
    <w:rsid w:val="001D7E04"/>
    <w:rsid w:val="00200620"/>
    <w:rsid w:val="002168F6"/>
    <w:rsid w:val="0021791C"/>
    <w:rsid w:val="002316A4"/>
    <w:rsid w:val="00243447"/>
    <w:rsid w:val="002625FD"/>
    <w:rsid w:val="002C5107"/>
    <w:rsid w:val="002D28E1"/>
    <w:rsid w:val="002F51A4"/>
    <w:rsid w:val="002F6892"/>
    <w:rsid w:val="003030D2"/>
    <w:rsid w:val="003108A3"/>
    <w:rsid w:val="00311547"/>
    <w:rsid w:val="003148BD"/>
    <w:rsid w:val="003158EC"/>
    <w:rsid w:val="00323557"/>
    <w:rsid w:val="00325716"/>
    <w:rsid w:val="003307AF"/>
    <w:rsid w:val="00392A82"/>
    <w:rsid w:val="003B361B"/>
    <w:rsid w:val="003D4355"/>
    <w:rsid w:val="003E3BE1"/>
    <w:rsid w:val="00401B18"/>
    <w:rsid w:val="004051C5"/>
    <w:rsid w:val="0040598B"/>
    <w:rsid w:val="00412132"/>
    <w:rsid w:val="00422A91"/>
    <w:rsid w:val="00430372"/>
    <w:rsid w:val="004439B8"/>
    <w:rsid w:val="00453B29"/>
    <w:rsid w:val="004852AC"/>
    <w:rsid w:val="00486414"/>
    <w:rsid w:val="004874A9"/>
    <w:rsid w:val="00493D14"/>
    <w:rsid w:val="004C7DF3"/>
    <w:rsid w:val="004E232C"/>
    <w:rsid w:val="004F3827"/>
    <w:rsid w:val="00501AF7"/>
    <w:rsid w:val="00503057"/>
    <w:rsid w:val="00515AB2"/>
    <w:rsid w:val="005404E6"/>
    <w:rsid w:val="00567994"/>
    <w:rsid w:val="00567B53"/>
    <w:rsid w:val="0058406C"/>
    <w:rsid w:val="00597AE5"/>
    <w:rsid w:val="005B1B24"/>
    <w:rsid w:val="005D1694"/>
    <w:rsid w:val="005E017F"/>
    <w:rsid w:val="006029EC"/>
    <w:rsid w:val="00605A27"/>
    <w:rsid w:val="0061042F"/>
    <w:rsid w:val="00620B3E"/>
    <w:rsid w:val="00654E79"/>
    <w:rsid w:val="006C2F88"/>
    <w:rsid w:val="006E31E5"/>
    <w:rsid w:val="006E6A75"/>
    <w:rsid w:val="007031F4"/>
    <w:rsid w:val="00704306"/>
    <w:rsid w:val="00711ED9"/>
    <w:rsid w:val="00720121"/>
    <w:rsid w:val="0073101E"/>
    <w:rsid w:val="00747D4F"/>
    <w:rsid w:val="007D2FD8"/>
    <w:rsid w:val="007D5F60"/>
    <w:rsid w:val="007F15B1"/>
    <w:rsid w:val="007F2879"/>
    <w:rsid w:val="007F6D7B"/>
    <w:rsid w:val="00804E4B"/>
    <w:rsid w:val="00811E40"/>
    <w:rsid w:val="00820843"/>
    <w:rsid w:val="00826CE4"/>
    <w:rsid w:val="008423C1"/>
    <w:rsid w:val="008673CE"/>
    <w:rsid w:val="00875D2F"/>
    <w:rsid w:val="00881E73"/>
    <w:rsid w:val="008908AB"/>
    <w:rsid w:val="008A4489"/>
    <w:rsid w:val="008C1D27"/>
    <w:rsid w:val="008E69CC"/>
    <w:rsid w:val="00910FBA"/>
    <w:rsid w:val="00915B1A"/>
    <w:rsid w:val="00922181"/>
    <w:rsid w:val="00987C95"/>
    <w:rsid w:val="009A70AF"/>
    <w:rsid w:val="009A71CC"/>
    <w:rsid w:val="009D09F4"/>
    <w:rsid w:val="009F2C2E"/>
    <w:rsid w:val="009F5094"/>
    <w:rsid w:val="00A00EA1"/>
    <w:rsid w:val="00A019DA"/>
    <w:rsid w:val="00A218D4"/>
    <w:rsid w:val="00A27094"/>
    <w:rsid w:val="00A440D3"/>
    <w:rsid w:val="00A45B4E"/>
    <w:rsid w:val="00A948A1"/>
    <w:rsid w:val="00AB0699"/>
    <w:rsid w:val="00AC4D20"/>
    <w:rsid w:val="00AD61A2"/>
    <w:rsid w:val="00AE2040"/>
    <w:rsid w:val="00AE54BB"/>
    <w:rsid w:val="00AF2680"/>
    <w:rsid w:val="00B00611"/>
    <w:rsid w:val="00B035D1"/>
    <w:rsid w:val="00B04525"/>
    <w:rsid w:val="00B05B15"/>
    <w:rsid w:val="00B24021"/>
    <w:rsid w:val="00B611EF"/>
    <w:rsid w:val="00B613BB"/>
    <w:rsid w:val="00B719C7"/>
    <w:rsid w:val="00B76162"/>
    <w:rsid w:val="00B81E01"/>
    <w:rsid w:val="00B85F73"/>
    <w:rsid w:val="00BB380B"/>
    <w:rsid w:val="00BE4D14"/>
    <w:rsid w:val="00C105AC"/>
    <w:rsid w:val="00C21AB4"/>
    <w:rsid w:val="00C33C3A"/>
    <w:rsid w:val="00C716E9"/>
    <w:rsid w:val="00CC4411"/>
    <w:rsid w:val="00CE3079"/>
    <w:rsid w:val="00CF66A9"/>
    <w:rsid w:val="00D0361C"/>
    <w:rsid w:val="00D120B8"/>
    <w:rsid w:val="00D37C36"/>
    <w:rsid w:val="00D710D5"/>
    <w:rsid w:val="00D93D1B"/>
    <w:rsid w:val="00DB44B0"/>
    <w:rsid w:val="00DD53FF"/>
    <w:rsid w:val="00E0319A"/>
    <w:rsid w:val="00E6315C"/>
    <w:rsid w:val="00E9392C"/>
    <w:rsid w:val="00E9430D"/>
    <w:rsid w:val="00EA19DA"/>
    <w:rsid w:val="00EB54A5"/>
    <w:rsid w:val="00EC0861"/>
    <w:rsid w:val="00ED222D"/>
    <w:rsid w:val="00F11ECF"/>
    <w:rsid w:val="00F31C40"/>
    <w:rsid w:val="00F34290"/>
    <w:rsid w:val="00F3587B"/>
    <w:rsid w:val="00F50447"/>
    <w:rsid w:val="00F7137C"/>
    <w:rsid w:val="00F72460"/>
    <w:rsid w:val="00F757BD"/>
    <w:rsid w:val="00F971B9"/>
    <w:rsid w:val="00FB2C05"/>
    <w:rsid w:val="00FC4A58"/>
    <w:rsid w:val="00FD1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584BA-27AA-45C3-9462-CA21DE13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D4"/>
  </w:style>
  <w:style w:type="paragraph" w:styleId="Heading2">
    <w:name w:val="heading 2"/>
    <w:basedOn w:val="Normal"/>
    <w:next w:val="Normal"/>
    <w:link w:val="Heading2Char"/>
    <w:uiPriority w:val="9"/>
    <w:unhideWhenUsed/>
    <w:qFormat/>
    <w:rsid w:val="001A4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0D5"/>
  </w:style>
  <w:style w:type="paragraph" w:styleId="Footer">
    <w:name w:val="footer"/>
    <w:basedOn w:val="Normal"/>
    <w:link w:val="FooterChar"/>
    <w:uiPriority w:val="99"/>
    <w:unhideWhenUsed/>
    <w:rsid w:val="00D71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0D5"/>
  </w:style>
  <w:style w:type="paragraph" w:styleId="ListParagraph">
    <w:name w:val="List Paragraph"/>
    <w:basedOn w:val="Normal"/>
    <w:uiPriority w:val="34"/>
    <w:qFormat/>
    <w:rsid w:val="001409D0"/>
    <w:pPr>
      <w:ind w:left="720"/>
      <w:contextualSpacing/>
    </w:pPr>
  </w:style>
  <w:style w:type="paragraph" w:styleId="BalloonText">
    <w:name w:val="Balloon Text"/>
    <w:basedOn w:val="Normal"/>
    <w:link w:val="BalloonTextChar"/>
    <w:uiPriority w:val="99"/>
    <w:semiHidden/>
    <w:unhideWhenUsed/>
    <w:rsid w:val="0019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03"/>
    <w:rPr>
      <w:rFonts w:ascii="Tahoma" w:hAnsi="Tahoma" w:cs="Tahoma"/>
      <w:sz w:val="16"/>
      <w:szCs w:val="16"/>
    </w:rPr>
  </w:style>
  <w:style w:type="paragraph" w:styleId="NormalWeb">
    <w:name w:val="Normal (Web)"/>
    <w:basedOn w:val="Normal"/>
    <w:uiPriority w:val="99"/>
    <w:semiHidden/>
    <w:unhideWhenUsed/>
    <w:rsid w:val="00820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A43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7073">
      <w:bodyDiv w:val="1"/>
      <w:marLeft w:val="0"/>
      <w:marRight w:val="0"/>
      <w:marTop w:val="0"/>
      <w:marBottom w:val="0"/>
      <w:divBdr>
        <w:top w:val="none" w:sz="0" w:space="0" w:color="auto"/>
        <w:left w:val="none" w:sz="0" w:space="0" w:color="auto"/>
        <w:bottom w:val="none" w:sz="0" w:space="0" w:color="auto"/>
        <w:right w:val="none" w:sz="0" w:space="0" w:color="auto"/>
      </w:divBdr>
    </w:div>
    <w:div w:id="118845764">
      <w:bodyDiv w:val="1"/>
      <w:marLeft w:val="0"/>
      <w:marRight w:val="0"/>
      <w:marTop w:val="0"/>
      <w:marBottom w:val="0"/>
      <w:divBdr>
        <w:top w:val="none" w:sz="0" w:space="0" w:color="auto"/>
        <w:left w:val="none" w:sz="0" w:space="0" w:color="auto"/>
        <w:bottom w:val="none" w:sz="0" w:space="0" w:color="auto"/>
        <w:right w:val="none" w:sz="0" w:space="0" w:color="auto"/>
      </w:divBdr>
    </w:div>
    <w:div w:id="410808356">
      <w:bodyDiv w:val="1"/>
      <w:marLeft w:val="0"/>
      <w:marRight w:val="0"/>
      <w:marTop w:val="0"/>
      <w:marBottom w:val="0"/>
      <w:divBdr>
        <w:top w:val="none" w:sz="0" w:space="0" w:color="auto"/>
        <w:left w:val="none" w:sz="0" w:space="0" w:color="auto"/>
        <w:bottom w:val="none" w:sz="0" w:space="0" w:color="auto"/>
        <w:right w:val="none" w:sz="0" w:space="0" w:color="auto"/>
      </w:divBdr>
    </w:div>
    <w:div w:id="429932559">
      <w:bodyDiv w:val="1"/>
      <w:marLeft w:val="0"/>
      <w:marRight w:val="0"/>
      <w:marTop w:val="0"/>
      <w:marBottom w:val="0"/>
      <w:divBdr>
        <w:top w:val="none" w:sz="0" w:space="0" w:color="auto"/>
        <w:left w:val="none" w:sz="0" w:space="0" w:color="auto"/>
        <w:bottom w:val="none" w:sz="0" w:space="0" w:color="auto"/>
        <w:right w:val="none" w:sz="0" w:space="0" w:color="auto"/>
      </w:divBdr>
    </w:div>
    <w:div w:id="441656440">
      <w:bodyDiv w:val="1"/>
      <w:marLeft w:val="0"/>
      <w:marRight w:val="0"/>
      <w:marTop w:val="0"/>
      <w:marBottom w:val="0"/>
      <w:divBdr>
        <w:top w:val="none" w:sz="0" w:space="0" w:color="auto"/>
        <w:left w:val="none" w:sz="0" w:space="0" w:color="auto"/>
        <w:bottom w:val="none" w:sz="0" w:space="0" w:color="auto"/>
        <w:right w:val="none" w:sz="0" w:space="0" w:color="auto"/>
      </w:divBdr>
    </w:div>
    <w:div w:id="462697430">
      <w:bodyDiv w:val="1"/>
      <w:marLeft w:val="0"/>
      <w:marRight w:val="0"/>
      <w:marTop w:val="0"/>
      <w:marBottom w:val="0"/>
      <w:divBdr>
        <w:top w:val="none" w:sz="0" w:space="0" w:color="auto"/>
        <w:left w:val="none" w:sz="0" w:space="0" w:color="auto"/>
        <w:bottom w:val="none" w:sz="0" w:space="0" w:color="auto"/>
        <w:right w:val="none" w:sz="0" w:space="0" w:color="auto"/>
      </w:divBdr>
    </w:div>
    <w:div w:id="647586466">
      <w:bodyDiv w:val="1"/>
      <w:marLeft w:val="0"/>
      <w:marRight w:val="0"/>
      <w:marTop w:val="0"/>
      <w:marBottom w:val="0"/>
      <w:divBdr>
        <w:top w:val="none" w:sz="0" w:space="0" w:color="auto"/>
        <w:left w:val="none" w:sz="0" w:space="0" w:color="auto"/>
        <w:bottom w:val="none" w:sz="0" w:space="0" w:color="auto"/>
        <w:right w:val="none" w:sz="0" w:space="0" w:color="auto"/>
      </w:divBdr>
    </w:div>
    <w:div w:id="663749313">
      <w:bodyDiv w:val="1"/>
      <w:marLeft w:val="0"/>
      <w:marRight w:val="0"/>
      <w:marTop w:val="0"/>
      <w:marBottom w:val="0"/>
      <w:divBdr>
        <w:top w:val="none" w:sz="0" w:space="0" w:color="auto"/>
        <w:left w:val="none" w:sz="0" w:space="0" w:color="auto"/>
        <w:bottom w:val="none" w:sz="0" w:space="0" w:color="auto"/>
        <w:right w:val="none" w:sz="0" w:space="0" w:color="auto"/>
      </w:divBdr>
    </w:div>
    <w:div w:id="900404064">
      <w:bodyDiv w:val="1"/>
      <w:marLeft w:val="0"/>
      <w:marRight w:val="0"/>
      <w:marTop w:val="0"/>
      <w:marBottom w:val="0"/>
      <w:divBdr>
        <w:top w:val="none" w:sz="0" w:space="0" w:color="auto"/>
        <w:left w:val="none" w:sz="0" w:space="0" w:color="auto"/>
        <w:bottom w:val="none" w:sz="0" w:space="0" w:color="auto"/>
        <w:right w:val="none" w:sz="0" w:space="0" w:color="auto"/>
      </w:divBdr>
    </w:div>
    <w:div w:id="1009483330">
      <w:bodyDiv w:val="1"/>
      <w:marLeft w:val="0"/>
      <w:marRight w:val="0"/>
      <w:marTop w:val="0"/>
      <w:marBottom w:val="0"/>
      <w:divBdr>
        <w:top w:val="none" w:sz="0" w:space="0" w:color="auto"/>
        <w:left w:val="none" w:sz="0" w:space="0" w:color="auto"/>
        <w:bottom w:val="none" w:sz="0" w:space="0" w:color="auto"/>
        <w:right w:val="none" w:sz="0" w:space="0" w:color="auto"/>
      </w:divBdr>
    </w:div>
    <w:div w:id="1013998067">
      <w:bodyDiv w:val="1"/>
      <w:marLeft w:val="0"/>
      <w:marRight w:val="0"/>
      <w:marTop w:val="0"/>
      <w:marBottom w:val="0"/>
      <w:divBdr>
        <w:top w:val="none" w:sz="0" w:space="0" w:color="auto"/>
        <w:left w:val="none" w:sz="0" w:space="0" w:color="auto"/>
        <w:bottom w:val="none" w:sz="0" w:space="0" w:color="auto"/>
        <w:right w:val="none" w:sz="0" w:space="0" w:color="auto"/>
      </w:divBdr>
    </w:div>
    <w:div w:id="1076779398">
      <w:bodyDiv w:val="1"/>
      <w:marLeft w:val="0"/>
      <w:marRight w:val="0"/>
      <w:marTop w:val="0"/>
      <w:marBottom w:val="0"/>
      <w:divBdr>
        <w:top w:val="none" w:sz="0" w:space="0" w:color="auto"/>
        <w:left w:val="none" w:sz="0" w:space="0" w:color="auto"/>
        <w:bottom w:val="none" w:sz="0" w:space="0" w:color="auto"/>
        <w:right w:val="none" w:sz="0" w:space="0" w:color="auto"/>
      </w:divBdr>
    </w:div>
    <w:div w:id="1101415352">
      <w:bodyDiv w:val="1"/>
      <w:marLeft w:val="0"/>
      <w:marRight w:val="0"/>
      <w:marTop w:val="0"/>
      <w:marBottom w:val="0"/>
      <w:divBdr>
        <w:top w:val="none" w:sz="0" w:space="0" w:color="auto"/>
        <w:left w:val="none" w:sz="0" w:space="0" w:color="auto"/>
        <w:bottom w:val="none" w:sz="0" w:space="0" w:color="auto"/>
        <w:right w:val="none" w:sz="0" w:space="0" w:color="auto"/>
      </w:divBdr>
    </w:div>
    <w:div w:id="1157769280">
      <w:bodyDiv w:val="1"/>
      <w:marLeft w:val="0"/>
      <w:marRight w:val="0"/>
      <w:marTop w:val="0"/>
      <w:marBottom w:val="0"/>
      <w:divBdr>
        <w:top w:val="none" w:sz="0" w:space="0" w:color="auto"/>
        <w:left w:val="none" w:sz="0" w:space="0" w:color="auto"/>
        <w:bottom w:val="none" w:sz="0" w:space="0" w:color="auto"/>
        <w:right w:val="none" w:sz="0" w:space="0" w:color="auto"/>
      </w:divBdr>
    </w:div>
    <w:div w:id="1222450534">
      <w:bodyDiv w:val="1"/>
      <w:marLeft w:val="0"/>
      <w:marRight w:val="0"/>
      <w:marTop w:val="0"/>
      <w:marBottom w:val="0"/>
      <w:divBdr>
        <w:top w:val="none" w:sz="0" w:space="0" w:color="auto"/>
        <w:left w:val="none" w:sz="0" w:space="0" w:color="auto"/>
        <w:bottom w:val="none" w:sz="0" w:space="0" w:color="auto"/>
        <w:right w:val="none" w:sz="0" w:space="0" w:color="auto"/>
      </w:divBdr>
    </w:div>
    <w:div w:id="1336153802">
      <w:bodyDiv w:val="1"/>
      <w:marLeft w:val="0"/>
      <w:marRight w:val="0"/>
      <w:marTop w:val="0"/>
      <w:marBottom w:val="0"/>
      <w:divBdr>
        <w:top w:val="none" w:sz="0" w:space="0" w:color="auto"/>
        <w:left w:val="none" w:sz="0" w:space="0" w:color="auto"/>
        <w:bottom w:val="none" w:sz="0" w:space="0" w:color="auto"/>
        <w:right w:val="none" w:sz="0" w:space="0" w:color="auto"/>
      </w:divBdr>
    </w:div>
    <w:div w:id="1402633509">
      <w:bodyDiv w:val="1"/>
      <w:marLeft w:val="0"/>
      <w:marRight w:val="0"/>
      <w:marTop w:val="0"/>
      <w:marBottom w:val="0"/>
      <w:divBdr>
        <w:top w:val="none" w:sz="0" w:space="0" w:color="auto"/>
        <w:left w:val="none" w:sz="0" w:space="0" w:color="auto"/>
        <w:bottom w:val="none" w:sz="0" w:space="0" w:color="auto"/>
        <w:right w:val="none" w:sz="0" w:space="0" w:color="auto"/>
      </w:divBdr>
    </w:div>
    <w:div w:id="1612934834">
      <w:bodyDiv w:val="1"/>
      <w:marLeft w:val="0"/>
      <w:marRight w:val="0"/>
      <w:marTop w:val="0"/>
      <w:marBottom w:val="0"/>
      <w:divBdr>
        <w:top w:val="none" w:sz="0" w:space="0" w:color="auto"/>
        <w:left w:val="none" w:sz="0" w:space="0" w:color="auto"/>
        <w:bottom w:val="none" w:sz="0" w:space="0" w:color="auto"/>
        <w:right w:val="none" w:sz="0" w:space="0" w:color="auto"/>
      </w:divBdr>
    </w:div>
    <w:div w:id="1649094243">
      <w:bodyDiv w:val="1"/>
      <w:marLeft w:val="0"/>
      <w:marRight w:val="0"/>
      <w:marTop w:val="0"/>
      <w:marBottom w:val="0"/>
      <w:divBdr>
        <w:top w:val="none" w:sz="0" w:space="0" w:color="auto"/>
        <w:left w:val="none" w:sz="0" w:space="0" w:color="auto"/>
        <w:bottom w:val="none" w:sz="0" w:space="0" w:color="auto"/>
        <w:right w:val="none" w:sz="0" w:space="0" w:color="auto"/>
      </w:divBdr>
    </w:div>
    <w:div w:id="1654750538">
      <w:bodyDiv w:val="1"/>
      <w:marLeft w:val="0"/>
      <w:marRight w:val="0"/>
      <w:marTop w:val="0"/>
      <w:marBottom w:val="0"/>
      <w:divBdr>
        <w:top w:val="none" w:sz="0" w:space="0" w:color="auto"/>
        <w:left w:val="none" w:sz="0" w:space="0" w:color="auto"/>
        <w:bottom w:val="none" w:sz="0" w:space="0" w:color="auto"/>
        <w:right w:val="none" w:sz="0" w:space="0" w:color="auto"/>
      </w:divBdr>
    </w:div>
    <w:div w:id="1720324847">
      <w:bodyDiv w:val="1"/>
      <w:marLeft w:val="0"/>
      <w:marRight w:val="0"/>
      <w:marTop w:val="0"/>
      <w:marBottom w:val="0"/>
      <w:divBdr>
        <w:top w:val="none" w:sz="0" w:space="0" w:color="auto"/>
        <w:left w:val="none" w:sz="0" w:space="0" w:color="auto"/>
        <w:bottom w:val="none" w:sz="0" w:space="0" w:color="auto"/>
        <w:right w:val="none" w:sz="0" w:space="0" w:color="auto"/>
      </w:divBdr>
    </w:div>
    <w:div w:id="1786919345">
      <w:bodyDiv w:val="1"/>
      <w:marLeft w:val="0"/>
      <w:marRight w:val="0"/>
      <w:marTop w:val="0"/>
      <w:marBottom w:val="0"/>
      <w:divBdr>
        <w:top w:val="none" w:sz="0" w:space="0" w:color="auto"/>
        <w:left w:val="none" w:sz="0" w:space="0" w:color="auto"/>
        <w:bottom w:val="none" w:sz="0" w:space="0" w:color="auto"/>
        <w:right w:val="none" w:sz="0" w:space="0" w:color="auto"/>
      </w:divBdr>
    </w:div>
    <w:div w:id="1827013118">
      <w:bodyDiv w:val="1"/>
      <w:marLeft w:val="0"/>
      <w:marRight w:val="0"/>
      <w:marTop w:val="0"/>
      <w:marBottom w:val="0"/>
      <w:divBdr>
        <w:top w:val="none" w:sz="0" w:space="0" w:color="auto"/>
        <w:left w:val="none" w:sz="0" w:space="0" w:color="auto"/>
        <w:bottom w:val="none" w:sz="0" w:space="0" w:color="auto"/>
        <w:right w:val="none" w:sz="0" w:space="0" w:color="auto"/>
      </w:divBdr>
    </w:div>
    <w:div w:id="1867476033">
      <w:bodyDiv w:val="1"/>
      <w:marLeft w:val="0"/>
      <w:marRight w:val="0"/>
      <w:marTop w:val="0"/>
      <w:marBottom w:val="0"/>
      <w:divBdr>
        <w:top w:val="none" w:sz="0" w:space="0" w:color="auto"/>
        <w:left w:val="none" w:sz="0" w:space="0" w:color="auto"/>
        <w:bottom w:val="none" w:sz="0" w:space="0" w:color="auto"/>
        <w:right w:val="none" w:sz="0" w:space="0" w:color="auto"/>
      </w:divBdr>
    </w:div>
    <w:div w:id="1904757817">
      <w:bodyDiv w:val="1"/>
      <w:marLeft w:val="0"/>
      <w:marRight w:val="0"/>
      <w:marTop w:val="0"/>
      <w:marBottom w:val="0"/>
      <w:divBdr>
        <w:top w:val="none" w:sz="0" w:space="0" w:color="auto"/>
        <w:left w:val="none" w:sz="0" w:space="0" w:color="auto"/>
        <w:bottom w:val="none" w:sz="0" w:space="0" w:color="auto"/>
        <w:right w:val="none" w:sz="0" w:space="0" w:color="auto"/>
      </w:divBdr>
    </w:div>
    <w:div w:id="2043241764">
      <w:bodyDiv w:val="1"/>
      <w:marLeft w:val="0"/>
      <w:marRight w:val="0"/>
      <w:marTop w:val="0"/>
      <w:marBottom w:val="0"/>
      <w:divBdr>
        <w:top w:val="none" w:sz="0" w:space="0" w:color="auto"/>
        <w:left w:val="none" w:sz="0" w:space="0" w:color="auto"/>
        <w:bottom w:val="none" w:sz="0" w:space="0" w:color="auto"/>
        <w:right w:val="none" w:sz="0" w:space="0" w:color="auto"/>
      </w:divBdr>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4986-8718-4FA4-B70C-B2AEF17D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Louise Scarrott (HOME ACCOUNT)</cp:lastModifiedBy>
  <cp:revision>2</cp:revision>
  <cp:lastPrinted>2017-09-26T08:55:00Z</cp:lastPrinted>
  <dcterms:created xsi:type="dcterms:W3CDTF">2021-07-22T15:24:00Z</dcterms:created>
  <dcterms:modified xsi:type="dcterms:W3CDTF">2021-07-22T15:24:00Z</dcterms:modified>
</cp:coreProperties>
</file>